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both"/>
        <w:ind w:left="260"/>
        <w:spacing w:after="0" w:line="253" w:lineRule="auto"/>
        <w:rPr>
          <w:sz w:val="20"/>
          <w:szCs w:val="20"/>
          <w:color w:val="auto"/>
        </w:rPr>
      </w:pPr>
      <w:r>
        <w:rPr>
          <w:rFonts w:ascii="Times New Roman" w:cs="Times New Roman" w:eastAsia="Times New Roman" w:hAnsi="Times New Roman"/>
          <w:sz w:val="48"/>
          <w:szCs w:val="48"/>
          <w:b w:val="1"/>
          <w:bCs w:val="1"/>
          <w:color w:val="auto"/>
        </w:rPr>
        <w:t>С</w:t>
      </w:r>
      <w:r>
        <w:rPr>
          <w:rFonts w:ascii="Times New Roman" w:cs="Times New Roman" w:eastAsia="Times New Roman" w:hAnsi="Times New Roman"/>
          <w:sz w:val="39"/>
          <w:szCs w:val="39"/>
          <w:b w:val="1"/>
          <w:bCs w:val="1"/>
          <w:color w:val="auto"/>
        </w:rPr>
        <w:t>истема</w:t>
      </w:r>
      <w:r>
        <w:rPr>
          <w:sz w:val="20"/>
          <w:szCs w:val="20"/>
          <w:color w:val="auto"/>
        </w:rPr>
        <w:t xml:space="preserve"> </w:t>
      </w:r>
      <w:r>
        <w:rPr>
          <w:rFonts w:ascii="Times New Roman" w:cs="Times New Roman" w:eastAsia="Times New Roman" w:hAnsi="Times New Roman"/>
          <w:sz w:val="40"/>
          <w:szCs w:val="40"/>
          <w:b w:val="1"/>
          <w:bCs w:val="1"/>
          <w:color w:val="auto"/>
        </w:rPr>
        <w:t>глутатиона крови при вирусных гепатитах и хронических заболеваниях желчного пузыря</w:t>
      </w:r>
    </w:p>
    <w:p>
      <w:pPr>
        <w:spacing w:after="0" w:line="200" w:lineRule="exact"/>
        <w:rPr>
          <w:sz w:val="24"/>
          <w:szCs w:val="24"/>
          <w:color w:val="auto"/>
        </w:rPr>
      </w:pPr>
    </w:p>
    <w:p>
      <w:pPr>
        <w:spacing w:after="0" w:line="336" w:lineRule="exact"/>
        <w:rPr>
          <w:sz w:val="24"/>
          <w:szCs w:val="24"/>
          <w:color w:val="auto"/>
        </w:rPr>
      </w:pPr>
    </w:p>
    <w:p>
      <w:pPr>
        <w:ind w:left="260"/>
        <w:spacing w:after="0"/>
        <w:rPr>
          <w:sz w:val="20"/>
          <w:szCs w:val="20"/>
          <w:color w:val="auto"/>
        </w:rPr>
      </w:pPr>
      <w:r>
        <w:rPr>
          <w:rFonts w:ascii="Times New Roman" w:cs="Times New Roman" w:eastAsia="Times New Roman" w:hAnsi="Times New Roman"/>
          <w:sz w:val="22"/>
          <w:szCs w:val="22"/>
          <w:color w:val="auto"/>
        </w:rPr>
        <w:t>Автореферат ДиссертацияАртикул: 206928Год: 2005 Автор: Леонова, Зоя Алексеевна</w:t>
      </w:r>
    </w:p>
    <w:p>
      <w:pPr>
        <w:ind w:left="260"/>
        <w:spacing w:after="0" w:line="238" w:lineRule="auto"/>
        <w:rPr>
          <w:sz w:val="20"/>
          <w:szCs w:val="20"/>
          <w:color w:val="auto"/>
        </w:rPr>
      </w:pPr>
      <w:r>
        <w:rPr>
          <w:rFonts w:ascii="Times New Roman" w:cs="Times New Roman" w:eastAsia="Times New Roman" w:hAnsi="Times New Roman"/>
          <w:sz w:val="22"/>
          <w:szCs w:val="22"/>
          <w:color w:val="auto"/>
        </w:rPr>
        <w:t>Ученая cтепень: кандидат биологических наук Место защиты диссертации: Новосибирск</w:t>
      </w:r>
    </w:p>
    <w:p>
      <w:pPr>
        <w:ind w:left="260"/>
        <w:spacing w:after="0"/>
        <w:rPr>
          <w:sz w:val="20"/>
          <w:szCs w:val="20"/>
          <w:color w:val="auto"/>
        </w:rPr>
      </w:pPr>
      <w:r>
        <w:rPr>
          <w:rFonts w:ascii="Times New Roman" w:cs="Times New Roman" w:eastAsia="Times New Roman" w:hAnsi="Times New Roman"/>
          <w:sz w:val="22"/>
          <w:szCs w:val="22"/>
          <w:color w:val="auto"/>
        </w:rPr>
        <w:t>Код cпециальности ВАК: 03.00.04, 14.00.16</w:t>
      </w:r>
    </w:p>
    <w:p>
      <w:pPr>
        <w:spacing w:after="0" w:line="1" w:lineRule="exact"/>
        <w:rPr>
          <w:sz w:val="24"/>
          <w:szCs w:val="24"/>
          <w:color w:val="auto"/>
        </w:rPr>
      </w:pPr>
    </w:p>
    <w:p>
      <w:pPr>
        <w:ind w:left="260" w:right="2740"/>
        <w:spacing w:after="0" w:line="239" w:lineRule="auto"/>
        <w:rPr>
          <w:sz w:val="20"/>
          <w:szCs w:val="20"/>
          <w:color w:val="auto"/>
        </w:rPr>
      </w:pPr>
      <w:r>
        <w:rPr>
          <w:rFonts w:ascii="Times New Roman" w:cs="Times New Roman" w:eastAsia="Times New Roman" w:hAnsi="Times New Roman"/>
          <w:sz w:val="22"/>
          <w:szCs w:val="22"/>
          <w:color w:val="auto"/>
        </w:rPr>
        <w:t>Специальность: Патологическая физиология Количество cтраниц: 117 Оглавление:</w:t>
      </w:r>
    </w:p>
    <w:p>
      <w:pPr>
        <w:ind w:left="260"/>
        <w:spacing w:after="0"/>
        <w:rPr>
          <w:sz w:val="20"/>
          <w:szCs w:val="20"/>
          <w:color w:val="auto"/>
        </w:rPr>
      </w:pPr>
      <w:r>
        <w:rPr>
          <w:rFonts w:ascii="Times New Roman" w:cs="Times New Roman" w:eastAsia="Times New Roman" w:hAnsi="Times New Roman"/>
          <w:sz w:val="22"/>
          <w:szCs w:val="22"/>
          <w:color w:val="auto"/>
        </w:rPr>
        <w:t>СПИСОК СОКРАЩЕНИЙ.</w:t>
      </w:r>
    </w:p>
    <w:p>
      <w:pPr>
        <w:spacing w:after="0" w:line="1" w:lineRule="exact"/>
        <w:rPr>
          <w:sz w:val="24"/>
          <w:szCs w:val="24"/>
          <w:color w:val="auto"/>
        </w:rPr>
      </w:pPr>
    </w:p>
    <w:p>
      <w:pPr>
        <w:ind w:left="420" w:hanging="161"/>
        <w:spacing w:after="0"/>
        <w:tabs>
          <w:tab w:leader="none" w:pos="420" w:val="left"/>
        </w:tabs>
        <w:numPr>
          <w:ilvl w:val="0"/>
          <w:numId w:val="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.ВВЕДЕНИЕ.</w:t>
      </w:r>
    </w:p>
    <w:p>
      <w:pPr>
        <w:spacing w:after="0" w:line="1" w:lineRule="exact"/>
        <w:rPr>
          <w:sz w:val="24"/>
          <w:szCs w:val="24"/>
          <w:color w:val="auto"/>
        </w:rPr>
      </w:pPr>
    </w:p>
    <w:p>
      <w:pPr>
        <w:ind w:left="480" w:hanging="221"/>
        <w:spacing w:after="0"/>
        <w:tabs>
          <w:tab w:leader="none" w:pos="480" w:val="left"/>
        </w:tabs>
        <w:numPr>
          <w:ilvl w:val="0"/>
          <w:numId w:val="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ОБЗОР ЛИТЕРАТУРЫ.</w:t>
      </w:r>
    </w:p>
    <w:p>
      <w:pPr>
        <w:ind w:left="960"/>
        <w:spacing w:after="0" w:line="238" w:lineRule="auto"/>
        <w:rPr>
          <w:sz w:val="20"/>
          <w:szCs w:val="20"/>
          <w:color w:val="auto"/>
        </w:rPr>
      </w:pPr>
      <w:r>
        <w:rPr>
          <w:rFonts w:ascii="Times New Roman" w:cs="Times New Roman" w:eastAsia="Times New Roman" w:hAnsi="Times New Roman"/>
          <w:sz w:val="22"/>
          <w:szCs w:val="22"/>
          <w:color w:val="auto"/>
        </w:rPr>
        <w:t>2.1. Синтез, межорганный обмен и биологическая роль глутатиона.</w:t>
      </w:r>
    </w:p>
    <w:p>
      <w:pPr>
        <w:ind w:left="960"/>
        <w:spacing w:after="0"/>
        <w:rPr>
          <w:sz w:val="20"/>
          <w:szCs w:val="20"/>
          <w:color w:val="auto"/>
        </w:rPr>
      </w:pPr>
      <w:r>
        <w:rPr>
          <w:rFonts w:ascii="Times New Roman" w:cs="Times New Roman" w:eastAsia="Times New Roman" w:hAnsi="Times New Roman"/>
          <w:sz w:val="22"/>
          <w:szCs w:val="22"/>
          <w:color w:val="auto"/>
        </w:rPr>
        <w:t>2.2. Функции и значение глутатионтрансферазы (КФ 2. 5. 1. 18).</w:t>
      </w:r>
    </w:p>
    <w:p>
      <w:pPr>
        <w:spacing w:after="0" w:line="1" w:lineRule="exact"/>
        <w:rPr>
          <w:sz w:val="24"/>
          <w:szCs w:val="24"/>
          <w:color w:val="auto"/>
        </w:rPr>
      </w:pPr>
    </w:p>
    <w:p>
      <w:pPr>
        <w:ind w:left="960"/>
        <w:spacing w:after="0"/>
        <w:rPr>
          <w:sz w:val="20"/>
          <w:szCs w:val="20"/>
          <w:color w:val="auto"/>
        </w:rPr>
      </w:pPr>
      <w:r>
        <w:rPr>
          <w:rFonts w:ascii="Times New Roman" w:cs="Times New Roman" w:eastAsia="Times New Roman" w:hAnsi="Times New Roman"/>
          <w:sz w:val="22"/>
          <w:szCs w:val="22"/>
          <w:color w:val="auto"/>
        </w:rPr>
        <w:t>2.3. Функции и значение глутатионпероксидазы (КФ 1. 11. 1.19).</w:t>
      </w:r>
    </w:p>
    <w:p>
      <w:pPr>
        <w:ind w:left="960"/>
        <w:spacing w:after="0" w:line="238" w:lineRule="auto"/>
        <w:rPr>
          <w:sz w:val="20"/>
          <w:szCs w:val="20"/>
          <w:color w:val="auto"/>
        </w:rPr>
      </w:pPr>
      <w:r>
        <w:rPr>
          <w:rFonts w:ascii="Times New Roman" w:cs="Times New Roman" w:eastAsia="Times New Roman" w:hAnsi="Times New Roman"/>
          <w:sz w:val="22"/>
          <w:szCs w:val="22"/>
          <w:color w:val="auto"/>
        </w:rPr>
        <w:t>2.4. Функции и значение глутатионредуктазы (КФ 1. 6. 4. 2).</w:t>
      </w:r>
    </w:p>
    <w:p>
      <w:pPr>
        <w:ind w:left="960"/>
        <w:spacing w:after="0"/>
        <w:rPr>
          <w:sz w:val="20"/>
          <w:szCs w:val="20"/>
          <w:color w:val="auto"/>
        </w:rPr>
      </w:pPr>
      <w:r>
        <w:rPr>
          <w:rFonts w:ascii="Times New Roman" w:cs="Times New Roman" w:eastAsia="Times New Roman" w:hAnsi="Times New Roman"/>
          <w:sz w:val="22"/>
          <w:szCs w:val="22"/>
          <w:color w:val="auto"/>
        </w:rPr>
        <w:t>2.5. Функции и значение гамма-глутамилтрансферазы (КФ 2.3.2.2)</w:t>
      </w:r>
    </w:p>
    <w:p>
      <w:pPr>
        <w:spacing w:after="0" w:line="1" w:lineRule="exact"/>
        <w:rPr>
          <w:sz w:val="24"/>
          <w:szCs w:val="24"/>
          <w:color w:val="auto"/>
        </w:rPr>
      </w:pPr>
    </w:p>
    <w:p>
      <w:pPr>
        <w:ind w:left="960"/>
        <w:spacing w:after="0"/>
        <w:rPr>
          <w:sz w:val="20"/>
          <w:szCs w:val="20"/>
          <w:color w:val="auto"/>
        </w:rPr>
      </w:pPr>
      <w:r>
        <w:rPr>
          <w:rFonts w:ascii="Times New Roman" w:cs="Times New Roman" w:eastAsia="Times New Roman" w:hAnsi="Times New Roman"/>
          <w:sz w:val="22"/>
          <w:szCs w:val="22"/>
          <w:color w:val="auto"/>
        </w:rPr>
        <w:t>2.6. Воспаление, окислительный стресс и значение системы глутатиона</w:t>
      </w:r>
    </w:p>
    <w:p>
      <w:pPr>
        <w:spacing w:after="0" w:line="1" w:lineRule="exact"/>
        <w:rPr>
          <w:sz w:val="24"/>
          <w:szCs w:val="24"/>
          <w:color w:val="auto"/>
        </w:rPr>
      </w:pPr>
    </w:p>
    <w:p>
      <w:pPr>
        <w:jc w:val="both"/>
        <w:ind w:left="260" w:firstLine="706"/>
        <w:spacing w:after="0" w:line="277" w:lineRule="auto"/>
        <w:rPr>
          <w:sz w:val="20"/>
          <w:szCs w:val="20"/>
          <w:color w:val="auto"/>
        </w:rPr>
      </w:pPr>
      <w:r>
        <w:rPr>
          <w:rFonts w:ascii="Times New Roman" w:cs="Times New Roman" w:eastAsia="Times New Roman" w:hAnsi="Times New Roman"/>
          <w:sz w:val="22"/>
          <w:szCs w:val="22"/>
          <w:color w:val="auto"/>
        </w:rPr>
        <w:t>2.7. Сдвиги в системе глутатиона при вирусных гепатитах и хронических заболеваниях желчного пузыря.</w:t>
      </w:r>
    </w:p>
    <w:p>
      <w:pPr>
        <w:spacing w:after="0" w:line="172" w:lineRule="exact"/>
        <w:rPr>
          <w:sz w:val="24"/>
          <w:szCs w:val="24"/>
          <w:color w:val="auto"/>
        </w:rPr>
      </w:pPr>
    </w:p>
    <w:p>
      <w:pPr>
        <w:ind w:left="260"/>
        <w:spacing w:after="0"/>
        <w:rPr>
          <w:sz w:val="20"/>
          <w:szCs w:val="20"/>
          <w:color w:val="auto"/>
        </w:rPr>
      </w:pPr>
      <w:r>
        <w:rPr>
          <w:rFonts w:ascii="Times New Roman" w:cs="Times New Roman" w:eastAsia="Times New Roman" w:hAnsi="Times New Roman"/>
          <w:sz w:val="22"/>
          <w:szCs w:val="22"/>
          <w:b w:val="1"/>
          <w:bCs w:val="1"/>
          <w:color w:val="auto"/>
        </w:rPr>
        <w:t>Введение:</w:t>
      </w:r>
    </w:p>
    <w:p>
      <w:pPr>
        <w:jc w:val="both"/>
        <w:ind w:left="260" w:firstLine="706"/>
        <w:spacing w:after="0"/>
        <w:rPr>
          <w:sz w:val="20"/>
          <w:szCs w:val="20"/>
          <w:color w:val="auto"/>
        </w:rPr>
      </w:pPr>
      <w:r>
        <w:rPr>
          <w:rFonts w:ascii="Times New Roman" w:cs="Times New Roman" w:eastAsia="Times New Roman" w:hAnsi="Times New Roman"/>
          <w:sz w:val="22"/>
          <w:szCs w:val="22"/>
          <w:b w:val="1"/>
          <w:bCs w:val="1"/>
          <w:color w:val="auto"/>
        </w:rPr>
        <w:t xml:space="preserve">Актуальность. </w:t>
      </w:r>
      <w:r>
        <w:rPr>
          <w:rFonts w:ascii="Times New Roman" w:cs="Times New Roman" w:eastAsia="Times New Roman" w:hAnsi="Times New Roman"/>
          <w:sz w:val="22"/>
          <w:szCs w:val="22"/>
          <w:color w:val="auto"/>
        </w:rPr>
        <w:t>Система глутатиона выполняет в организме ряд фундаментальных</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функций: защищает от окислительного стресса (ОС) и ксенобиотиков, регулирует активность многих белков, участвует в стабилизации клеточных мембран, синтезе эйкозаноидов, синтезе ДНК, пролиферации, редокс-регуляции экспрессии генов и в других процессах. Восстанавленный глутатион (GSH) снижает выработку воспалительных цитокинов, ингибирует апоптоз, может выполнять функции иммуно- и нейромодулятора, участвует в трансмембранном переносе органических веществ [Meister A., Ansderson М.Е., 1983; Ку-линский В.И., Колесниченко JI.C., 1990; Ballatori N., Truong А.Т., 1992; Lu S.C., 1999; Oja S.S. et al., 2000; Dickinson D.A., Forman H.J., 2002; Santangelo R., 2003].</w:t>
      </w:r>
    </w:p>
    <w:p>
      <w:pPr>
        <w:spacing w:after="0" w:line="3" w:lineRule="exact"/>
        <w:rPr>
          <w:sz w:val="24"/>
          <w:szCs w:val="24"/>
          <w:color w:val="auto"/>
        </w:rPr>
      </w:pPr>
    </w:p>
    <w:p>
      <w:pPr>
        <w:jc w:val="both"/>
        <w:ind w:left="260" w:firstLine="159"/>
        <w:spacing w:after="0" w:line="239" w:lineRule="auto"/>
        <w:rPr>
          <w:sz w:val="20"/>
          <w:szCs w:val="20"/>
          <w:color w:val="auto"/>
        </w:rPr>
      </w:pPr>
      <w:r>
        <w:rPr>
          <w:rFonts w:ascii="Times New Roman" w:cs="Times New Roman" w:eastAsia="Times New Roman" w:hAnsi="Times New Roman"/>
          <w:sz w:val="22"/>
          <w:szCs w:val="22"/>
          <w:color w:val="auto"/>
        </w:rPr>
        <w:t>Острое или хроническое воспаление, развивающееся при вирусных гепатитах (ВГ) и хронических заболеваниях желчного пузыря (ЖП), является серьезной угрозой для здоровья и жизни больного. Многие биохимические аспекты патогенеза этих массовых заболеваний известны [Соринсон С.Р., 1998; Ющук Н.Д., Климова Е.А., 2000; Галкин В.А, 2003; Stehbens W.E., 2004], но система глутатиона изучена недостаточно. В печени глутатион и ферменты его метаболизма синтезируются и содержатся в больших количествах, чем в других органах, к тому же они поступают в кровь в основном из печени [Кулинский В.И., Колесниченко Л.С., 1990; Шерлок Ш., Дули Дж., 1999; Lu S.C., 1999]. Поэтому можно предположить, что система глутатиона оказывает существенное влияние на патологические процессы в этом органе.</w:t>
      </w:r>
    </w:p>
    <w:p>
      <w:pPr>
        <w:spacing w:after="0" w:line="8" w:lineRule="exact"/>
        <w:rPr>
          <w:sz w:val="24"/>
          <w:szCs w:val="24"/>
          <w:color w:val="auto"/>
        </w:rPr>
      </w:pPr>
    </w:p>
    <w:p>
      <w:pPr>
        <w:jc w:val="both"/>
        <w:ind w:left="260" w:firstLine="159"/>
        <w:spacing w:after="0"/>
        <w:rPr>
          <w:sz w:val="20"/>
          <w:szCs w:val="20"/>
          <w:color w:val="auto"/>
        </w:rPr>
      </w:pPr>
      <w:r>
        <w:rPr>
          <w:rFonts w:ascii="Times New Roman" w:cs="Times New Roman" w:eastAsia="Times New Roman" w:hAnsi="Times New Roman"/>
          <w:sz w:val="22"/>
          <w:szCs w:val="22"/>
          <w:color w:val="auto"/>
        </w:rPr>
        <w:t>Развитие воспалительного процесса в организме, в том числе и в печени, связывают с ОС - состоянием, при котором избыток активных форм кислорода (АФК) и их производных начинает оказывать на организм неблагоприятное действие. Ферменты метаболизма глутатиона снижают действие ОС и его последствий [Скулачев В.П., 1998; Lu S.C., 1999; Mates J.M., Perez</w:t>
      </w:r>
    </w:p>
    <w:p>
      <w:pPr>
        <w:spacing w:after="0" w:line="1" w:lineRule="exact"/>
        <w:rPr>
          <w:sz w:val="24"/>
          <w:szCs w:val="24"/>
          <w:color w:val="auto"/>
        </w:rPr>
      </w:pPr>
    </w:p>
    <w:p>
      <w:pPr>
        <w:ind w:left="540"/>
        <w:spacing w:after="0"/>
        <w:rPr>
          <w:sz w:val="20"/>
          <w:szCs w:val="20"/>
          <w:color w:val="auto"/>
        </w:rPr>
      </w:pPr>
      <w:r>
        <w:rPr>
          <w:rFonts w:ascii="Times New Roman" w:cs="Times New Roman" w:eastAsia="Times New Roman" w:hAnsi="Times New Roman"/>
          <w:sz w:val="22"/>
          <w:szCs w:val="22"/>
          <w:color w:val="auto"/>
        </w:rPr>
        <w:t>Gomes С., 1999; Par A. et al., 2000; Jain S.K. et al., 2002; Loguercio C., Federico</w:t>
      </w:r>
    </w:p>
    <w:p>
      <w:pPr>
        <w:spacing w:after="0" w:line="1" w:lineRule="exact"/>
        <w:rPr>
          <w:sz w:val="24"/>
          <w:szCs w:val="24"/>
          <w:color w:val="auto"/>
        </w:rPr>
      </w:pPr>
    </w:p>
    <w:p>
      <w:pPr>
        <w:jc w:val="both"/>
        <w:ind w:left="260"/>
        <w:spacing w:after="0" w:line="239" w:lineRule="auto"/>
        <w:rPr>
          <w:sz w:val="20"/>
          <w:szCs w:val="20"/>
          <w:color w:val="auto"/>
        </w:rPr>
      </w:pPr>
      <w:r>
        <w:rPr>
          <w:rFonts w:ascii="Times New Roman" w:cs="Times New Roman" w:eastAsia="Times New Roman" w:hAnsi="Times New Roman"/>
          <w:sz w:val="22"/>
          <w:szCs w:val="22"/>
          <w:color w:val="auto"/>
        </w:rPr>
        <w:t>A., 2003; Wu G.A. et al., 2004]. В печени эти ферменты высоко активны [Логинов А.С. и др., 1997; Vaubourdolle М. et al., 1995; Wernerman J., Ham-marqvist F., 1999].</w:t>
      </w:r>
    </w:p>
    <w:p>
      <w:pPr>
        <w:jc w:val="both"/>
        <w:ind w:left="260" w:right="20" w:firstLine="163"/>
        <w:spacing w:after="0" w:line="241" w:lineRule="auto"/>
        <w:tabs>
          <w:tab w:leader="none" w:pos="639" w:val="left"/>
        </w:tabs>
        <w:numPr>
          <w:ilvl w:val="0"/>
          <w:numId w:val="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печени ОС развивается не только под действием гепатотропных вирусов, но и при холестазе, являющимся следствием нарушения экскреции ге-патоцитами желчи или нарушения работы ЖП</w:t>
      </w:r>
    </w:p>
    <w:p>
      <w:pPr>
        <w:ind w:left="2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[Логинов А.С. и др., 1993; Ljubuncic P. et al., 2000; Orellana М. et al., 2000; Huang Y.T. et al., 2003].</w:t>
      </w:r>
    </w:p>
    <w:p>
      <w:pPr>
        <w:jc w:val="both"/>
        <w:ind w:left="260"/>
        <w:spacing w:after="0" w:line="250"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АФК из печени попадают в кровь и влияют на систему глутатиона в эритроцитах и плазме. Поэтому представляется целесообразным провести сравнение изменений в системе глутатиона крови у больных с острым и хроническим течением гепатита, а также между гепатитами, вызывающими выраженный цито-литический синдром, и хроническими заболеваниями ЖП. В патогенезе последних участвуют такие факторы, как застой желчи на фоне дискинезии желчного</w:t>
      </w:r>
    </w:p>
    <w:p>
      <w:pPr>
        <w:sectPr>
          <w:pgSz w:w="11900" w:h="16838" w:orient="portrait"/>
          <w:cols w:equalWidth="0" w:num="1">
            <w:col w:w="9620"/>
          </w:cols>
          <w:pgMar w:left="1440" w:top="1067" w:right="844" w:bottom="748" w:gutter="0" w:footer="0" w:header="0"/>
        </w:sectPr>
      </w:pPr>
    </w:p>
    <w:bookmarkStart w:id="1" w:name="page2"/>
    <w:bookmarkEnd w:id="1"/>
    <w:p>
      <w:pPr>
        <w:ind w:left="260"/>
        <w:spacing w:after="0"/>
        <w:rPr>
          <w:sz w:val="20"/>
          <w:szCs w:val="20"/>
          <w:color w:val="auto"/>
        </w:rPr>
      </w:pPr>
      <w:r>
        <w:rPr>
          <w:rFonts w:ascii="Times New Roman" w:cs="Times New Roman" w:eastAsia="Times New Roman" w:hAnsi="Times New Roman"/>
          <w:sz w:val="22"/>
          <w:szCs w:val="22"/>
          <w:color w:val="auto"/>
        </w:rPr>
        <w:t>пузыря, повышение ее вязкости и литогенности, ишемия желчного пузыря [Шерлок LLL, Дули</w:t>
      </w:r>
    </w:p>
    <w:p>
      <w:pPr>
        <w:spacing w:after="0" w:line="1"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color w:val="auto"/>
        </w:rPr>
        <w:t>Дж.,1999]. Массовый некроз воспаленных клеток, развивающийся в результате ОС при сильном</w:t>
      </w:r>
    </w:p>
    <w:p>
      <w:pPr>
        <w:ind w:left="260"/>
        <w:spacing w:after="0" w:line="238" w:lineRule="auto"/>
        <w:rPr>
          <w:sz w:val="20"/>
          <w:szCs w:val="20"/>
          <w:color w:val="auto"/>
        </w:rPr>
      </w:pPr>
      <w:r>
        <w:rPr>
          <w:rFonts w:ascii="Times New Roman" w:cs="Times New Roman" w:eastAsia="Times New Roman" w:hAnsi="Times New Roman"/>
          <w:sz w:val="22"/>
          <w:szCs w:val="22"/>
          <w:color w:val="auto"/>
        </w:rPr>
        <w:t>воспалении, может привести к резкому утяжелению болезни. При слабом воспалительном</w:t>
      </w:r>
    </w:p>
    <w:p>
      <w:pPr>
        <w:ind w:left="260"/>
        <w:spacing w:after="0"/>
        <w:rPr>
          <w:sz w:val="20"/>
          <w:szCs w:val="20"/>
          <w:color w:val="auto"/>
        </w:rPr>
      </w:pPr>
      <w:r>
        <w:rPr>
          <w:rFonts w:ascii="Times New Roman" w:cs="Times New Roman" w:eastAsia="Times New Roman" w:hAnsi="Times New Roman"/>
          <w:sz w:val="22"/>
          <w:szCs w:val="22"/>
          <w:color w:val="auto"/>
        </w:rPr>
        <w:t>процессе гибель</w:t>
      </w:r>
    </w:p>
    <w:p>
      <w:pPr>
        <w:spacing w:after="0" w:line="1" w:lineRule="exact"/>
        <w:rPr>
          <w:sz w:val="20"/>
          <w:szCs w:val="20"/>
          <w:color w:val="auto"/>
        </w:rPr>
      </w:pPr>
    </w:p>
    <w:p>
      <w:pPr>
        <w:ind w:left="260"/>
        <w:spacing w:after="0"/>
        <w:rPr>
          <w:sz w:val="20"/>
          <w:szCs w:val="20"/>
          <w:color w:val="auto"/>
        </w:rPr>
      </w:pPr>
      <w:r>
        <w:rPr>
          <w:rFonts w:ascii="Times New Roman" w:cs="Times New Roman" w:eastAsia="Times New Roman" w:hAnsi="Times New Roman"/>
          <w:sz w:val="22"/>
          <w:szCs w:val="22"/>
          <w:color w:val="auto"/>
        </w:rPr>
        <w:t>клеток осуществляется путем апоптоза, недостаточность развития которого может привести к</w:t>
      </w:r>
    </w:p>
    <w:p>
      <w:pPr>
        <w:ind w:left="260"/>
        <w:spacing w:after="0" w:line="238" w:lineRule="auto"/>
        <w:rPr>
          <w:sz w:val="20"/>
          <w:szCs w:val="20"/>
          <w:color w:val="auto"/>
        </w:rPr>
      </w:pPr>
      <w:r>
        <w:rPr>
          <w:rFonts w:ascii="Times New Roman" w:cs="Times New Roman" w:eastAsia="Times New Roman" w:hAnsi="Times New Roman"/>
          <w:sz w:val="22"/>
          <w:szCs w:val="22"/>
          <w:color w:val="auto"/>
        </w:rPr>
        <w:t>хронизации процесса [Соринсон С.Р., 1998; Кулинский</w:t>
      </w:r>
    </w:p>
    <w:p>
      <w:pPr>
        <w:jc w:val="both"/>
        <w:ind w:left="260" w:firstLine="326"/>
        <w:spacing w:after="0"/>
        <w:rPr>
          <w:sz w:val="20"/>
          <w:szCs w:val="20"/>
          <w:color w:val="auto"/>
        </w:rPr>
      </w:pPr>
      <w:r>
        <w:rPr>
          <w:rFonts w:ascii="Times New Roman" w:cs="Times New Roman" w:eastAsia="Times New Roman" w:hAnsi="Times New Roman"/>
          <w:sz w:val="22"/>
          <w:szCs w:val="22"/>
          <w:color w:val="auto"/>
        </w:rPr>
        <w:t>B.И., 1999]. Представляется возможным снижать тяжесть заболевания и степень хронизации с помощью системы глутатиона, так как она влияет как на цитолиз, так и на апоптоз. Но еще не решены и более простые задачи - нет полной и точной картины изменений, происходящих в системе глутатиона при конкретных заболеваниях. Выяснение этого может иметь патогенетическое и/или диагностическое значение. Определение редокс-параметров может помочь клиницистам в выборе оптимального лечения заболеваний, связанных с ОС [Kocsis I. et al., 2004].</w:t>
      </w:r>
    </w:p>
    <w:p>
      <w:pPr>
        <w:spacing w:after="0" w:line="4" w:lineRule="exact"/>
        <w:rPr>
          <w:sz w:val="20"/>
          <w:szCs w:val="20"/>
          <w:color w:val="auto"/>
        </w:rPr>
      </w:pPr>
    </w:p>
    <w:p>
      <w:pPr>
        <w:jc w:val="both"/>
        <w:ind w:left="260" w:firstLine="383"/>
        <w:spacing w:after="0" w:line="239" w:lineRule="auto"/>
        <w:tabs>
          <w:tab w:leader="none" w:pos="855" w:val="left"/>
        </w:tabs>
        <w:numPr>
          <w:ilvl w:val="2"/>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результате поиска литературы, описывающей результаты изучения системы глутатиона при ВГ и хронических заболеваниях ЖП за последние 40 лет, мы нашли и проанализировали 32 работы с отмеченными изменениями системы в эритроцитах и/или плазме у больных, которым поставлен точный диагноз и 2 работы с данными по системе глутатиона в стенке желчного пузыря больных ХКХ. В эритроцитах показано снижение концентрации GSH при хронических гепатитах В, С (ХВГ В, ХВГ С) [Swietek К., Juszczyk J., 1997; Czuczejko J. et al., 2003] и увеличение активности глутатионредуктазы (ГР) при хроническом некалькулезном холецистите (ХНХ) [Иванов Д.И., Костенко М.В., 1996; Воевидка О.С., 1997], в плазме крови обнаружено увеличение активностей глутатионтрансферазы (ГТ) при ХВГ С [Nelson D.R. et al., 1995; Loguercio С. et al., 1998; Mazur W. et al., 2003; и др.] и гамма-глутамилтрансферазы (ГГТ) при остром вирусном гепатите В (ОВГ В) [Анд-рейчин М.А. и др., 1991; Кожевникова Г.М. и др. (а), 1999] и ХВГ С [Van Thiel. et al., 1995; Kiso S. et al., 1996; Giannini E. et al., 2001]; эти данные составляли лишь 7%</w:t>
      </w:r>
    </w:p>
    <w:p>
      <w:pPr>
        <w:spacing w:after="0" w:line="10" w:lineRule="exact"/>
        <w:rPr>
          <w:rFonts w:ascii="Times New Roman" w:cs="Times New Roman" w:eastAsia="Times New Roman" w:hAnsi="Times New Roman"/>
          <w:sz w:val="22"/>
          <w:szCs w:val="22"/>
          <w:color w:val="auto"/>
        </w:rPr>
      </w:pPr>
    </w:p>
    <w:p>
      <w:pPr>
        <w:jc w:val="both"/>
        <w:ind w:left="260" w:right="2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информации запланированного и проведенного нами изучения системы глутатиона. В ряде работ полученные данные были рассмотрены в основном с позиций клинициста и не приведена биохимическая интерпретация описанных сдвигов.</w:t>
      </w:r>
    </w:p>
    <w:p>
      <w:pPr>
        <w:spacing w:after="0" w:line="2" w:lineRule="exact"/>
        <w:rPr>
          <w:rFonts w:ascii="Times New Roman" w:cs="Times New Roman" w:eastAsia="Times New Roman" w:hAnsi="Times New Roman"/>
          <w:sz w:val="22"/>
          <w:szCs w:val="22"/>
          <w:color w:val="auto"/>
        </w:rPr>
      </w:pPr>
    </w:p>
    <w:p>
      <w:pPr>
        <w:jc w:val="both"/>
        <w:ind w:left="260" w:firstLine="37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Мы изучали 9 показателей системы глутатиона крови, которые считаем достаточными для оценивания состояния ферментативной антиоксидант-ной защиты и мониторинга осуществления антиоксидантной функции в организме. В эритроцитах определяли концентрацию GSH и активность трех ферментов его метаболизма: ГТ, глутатионпероксидазы (ГПО) и ГР. В плазме определяли концентрацию GSH, активность ГТ, ГПО, ГР и ГТТ. Эти ферменты изменяют концентрацию GSH, который используется на устранение АФК и их производных.</w:t>
      </w:r>
    </w:p>
    <w:p>
      <w:pPr>
        <w:spacing w:after="0" w:line="4" w:lineRule="exact"/>
        <w:rPr>
          <w:rFonts w:ascii="Times New Roman" w:cs="Times New Roman" w:eastAsia="Times New Roman" w:hAnsi="Times New Roman"/>
          <w:sz w:val="22"/>
          <w:szCs w:val="22"/>
          <w:color w:val="auto"/>
        </w:rPr>
      </w:pPr>
    </w:p>
    <w:p>
      <w:pPr>
        <w:jc w:val="both"/>
        <w:ind w:left="260" w:firstLine="326"/>
        <w:spacing w:after="0" w:line="24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Целью работы являлось выявление изменений обмена глутатиона в эритроцитах и плазме крови при вирусных гепатитах и хронических заболеваниях желчного пузыря и оценка их значения для организма. Для достижения цели было необходимо решить следующие задачи:</w:t>
      </w:r>
    </w:p>
    <w:p>
      <w:pPr>
        <w:jc w:val="both"/>
        <w:ind w:left="260" w:firstLine="26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b w:val="1"/>
          <w:bCs w:val="1"/>
          <w:color w:val="auto"/>
        </w:rPr>
        <w:t>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Комплексно и сравнительно исследовать обмен глутатиона при различных вирусных</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гепатитах (А, острые и хронические гепатиты В и С) и заболеваниях желчного пузыря (его дисфункция, некалькулезный и калькулезный холециститы, состояние после холецистэктомии).</w:t>
      </w:r>
    </w:p>
    <w:p>
      <w:pPr>
        <w:spacing w:after="0" w:line="2" w:lineRule="exact"/>
        <w:rPr>
          <w:rFonts w:ascii="Times New Roman" w:cs="Times New Roman" w:eastAsia="Times New Roman" w:hAnsi="Times New Roman"/>
          <w:sz w:val="22"/>
          <w:szCs w:val="22"/>
          <w:color w:val="auto"/>
        </w:rPr>
      </w:pPr>
    </w:p>
    <w:p>
      <w:pPr>
        <w:ind w:left="260" w:firstLine="215"/>
        <w:spacing w:after="0" w:line="239" w:lineRule="auto"/>
        <w:tabs>
          <w:tab w:leader="none" w:pos="759" w:val="left"/>
        </w:tabs>
        <w:numPr>
          <w:ilvl w:val="1"/>
          <w:numId w:val="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Изучить влияние лечения хронического некалькулезного холецистита и состояния после холецистэктомии на систему глутатиона.</w:t>
      </w:r>
    </w:p>
    <w:p>
      <w:pPr>
        <w:ind w:left="700" w:hanging="215"/>
        <w:spacing w:after="0"/>
        <w:tabs>
          <w:tab w:leader="none" w:pos="700" w:val="left"/>
        </w:tabs>
        <w:numPr>
          <w:ilvl w:val="1"/>
          <w:numId w:val="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Исследовать систему глутатиона в стенке оперативно удаленных желчных пузырей.</w:t>
      </w:r>
    </w:p>
    <w:p>
      <w:pPr>
        <w:spacing w:after="0" w:line="1" w:lineRule="exact"/>
        <w:rPr>
          <w:rFonts w:ascii="Times New Roman" w:cs="Times New Roman" w:eastAsia="Times New Roman" w:hAnsi="Times New Roman"/>
          <w:sz w:val="22"/>
          <w:szCs w:val="22"/>
          <w:b w:val="1"/>
          <w:bCs w:val="1"/>
          <w:color w:val="auto"/>
        </w:rPr>
      </w:pPr>
    </w:p>
    <w:p>
      <w:pPr>
        <w:ind w:left="260" w:firstLine="215"/>
        <w:spacing w:after="0" w:line="239" w:lineRule="auto"/>
        <w:tabs>
          <w:tab w:leader="none" w:pos="740" w:val="left"/>
        </w:tabs>
        <w:numPr>
          <w:ilvl w:val="1"/>
          <w:numId w:val="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Провести анализ патогенетического и возможного диагностического значения выявленных сдвигов в обмене глутатиона.</w:t>
      </w:r>
    </w:p>
    <w:p>
      <w:pPr>
        <w:ind w:left="26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Научная новизна. Впервые проведено комплексное исследование систем глутатиона в эритроцитах</w:t>
      </w:r>
    </w:p>
    <w:p>
      <w:pPr>
        <w:spacing w:after="0" w:line="1" w:lineRule="exact"/>
        <w:rPr>
          <w:rFonts w:ascii="Times New Roman" w:cs="Times New Roman" w:eastAsia="Times New Roman" w:hAnsi="Times New Roman"/>
          <w:sz w:val="22"/>
          <w:szCs w:val="22"/>
          <w:b w:val="1"/>
          <w:bCs w:val="1"/>
          <w:color w:val="auto"/>
        </w:rPr>
      </w:pPr>
    </w:p>
    <w:p>
      <w:pPr>
        <w:jc w:val="both"/>
        <w:ind w:left="260" w:hanging="1"/>
        <w:spacing w:after="0" w:line="239" w:lineRule="auto"/>
        <w:tabs>
          <w:tab w:leader="none" w:pos="519" w:val="left"/>
        </w:tabs>
        <w:numPr>
          <w:ilvl w:val="0"/>
          <w:numId w:val="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плазме крови при различных острых и хронических вирусных гепатитах и хронических заболеваниях желчного пузыря, дана их сравнительная характеристика и выявлено патогенетическое значение. Впервые продемонстрированы изменения в системе глутатиона при дискинезии желчного пузыря, при состоянии после холецистэктомии и влияние воспаления, склероза и метаплазии на систему глутатиона в стенке желчных пузырей, удаленных у больных с хроническим калькулезным холециститом. При хроническом некалькулезном холецистите и состоянии после холецистэктомии показано благоприятное влияние терапии на часть показателей системы глутатиона. Впервые при всех изученных заболеваниях проведен корреляционный анализ взаимосвязей, показавший независимость систем глутатиона в эритроцитах и плазме крови.</w:t>
      </w:r>
    </w:p>
    <w:p>
      <w:pPr>
        <w:spacing w:after="0" w:line="7" w:lineRule="exact"/>
        <w:rPr>
          <w:rFonts w:ascii="Times New Roman" w:cs="Times New Roman" w:eastAsia="Times New Roman" w:hAnsi="Times New Roman"/>
          <w:sz w:val="22"/>
          <w:szCs w:val="22"/>
          <w:color w:val="auto"/>
        </w:rPr>
      </w:pPr>
    </w:p>
    <w:p>
      <w:pPr>
        <w:jc w:val="both"/>
        <w:ind w:left="260" w:firstLine="326"/>
        <w:spacing w:after="0" w:line="26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Научно-практическая значимость. Комплексное изучение системы глутатиона позволило выявить общие закономерности ее реакций и углубило понимание патогенеза воспалительных заболеваний печени и хронических заболеваний желчного пузыря. Обнаружены значимые отличия</w:t>
      </w:r>
    </w:p>
    <w:p>
      <w:pPr>
        <w:sectPr>
          <w:pgSz w:w="11900" w:h="16838" w:orient="portrait"/>
          <w:cols w:equalWidth="0" w:num="1">
            <w:col w:w="9620"/>
          </w:cols>
          <w:pgMar w:left="1440" w:top="1099" w:right="844" w:bottom="689" w:gutter="0" w:footer="0" w:header="0"/>
        </w:sectPr>
      </w:pPr>
    </w:p>
    <w:bookmarkStart w:id="2" w:name="page3"/>
    <w:bookmarkEnd w:id="2"/>
    <w:p>
      <w:pPr>
        <w:jc w:val="both"/>
        <w:ind w:left="260"/>
        <w:spacing w:after="0"/>
        <w:rPr>
          <w:sz w:val="20"/>
          <w:szCs w:val="20"/>
          <w:color w:val="auto"/>
        </w:rPr>
      </w:pPr>
      <w:r>
        <w:rPr>
          <w:rFonts w:ascii="Times New Roman" w:cs="Times New Roman" w:eastAsia="Times New Roman" w:hAnsi="Times New Roman"/>
          <w:sz w:val="22"/>
          <w:szCs w:val="22"/>
          <w:color w:val="auto"/>
        </w:rPr>
        <w:t>между вирусными гепатитами и заболеваниями желчного пузыря, острыми и хроническими вирусными гепатитами, разными степенями тяжести острого вирусного гепатита В. Полученные результаты могут послужить основой для разработки новых подходов к антиоксидантной терапии заболеваний гепатобили-арной системы.</w:t>
      </w:r>
    </w:p>
    <w:p>
      <w:pPr>
        <w:spacing w:after="0" w:line="1" w:lineRule="exact"/>
        <w:rPr>
          <w:sz w:val="20"/>
          <w:szCs w:val="20"/>
          <w:color w:val="auto"/>
        </w:rPr>
      </w:pPr>
    </w:p>
    <w:p>
      <w:pPr>
        <w:jc w:val="both"/>
        <w:ind w:left="260" w:right="20" w:firstLine="216"/>
        <w:spacing w:after="0"/>
        <w:rPr>
          <w:sz w:val="20"/>
          <w:szCs w:val="20"/>
          <w:color w:val="auto"/>
        </w:rPr>
      </w:pPr>
      <w:r>
        <w:rPr>
          <w:rFonts w:ascii="Times New Roman" w:cs="Times New Roman" w:eastAsia="Times New Roman" w:hAnsi="Times New Roman"/>
          <w:sz w:val="22"/>
          <w:szCs w:val="22"/>
          <w:color w:val="auto"/>
        </w:rPr>
        <w:t>Внедрение результатов. По полученным результатам оформлены 3 рационализаторских предложения, где сдвиги в системе глутатиона апробированы как дополнение к комплексной диагностике. Материалы диссертации используются при чтении лекций по курсу «биохимия» для студентов ИГМУ.</w:t>
      </w:r>
    </w:p>
    <w:p>
      <w:pPr>
        <w:spacing w:after="0" w:line="1" w:lineRule="exact"/>
        <w:rPr>
          <w:sz w:val="20"/>
          <w:szCs w:val="20"/>
          <w:color w:val="auto"/>
        </w:rPr>
      </w:pPr>
    </w:p>
    <w:p>
      <w:pPr>
        <w:jc w:val="both"/>
        <w:ind w:left="260" w:firstLine="274"/>
        <w:spacing w:after="0"/>
        <w:rPr>
          <w:sz w:val="20"/>
          <w:szCs w:val="20"/>
          <w:color w:val="auto"/>
        </w:rPr>
      </w:pPr>
      <w:r>
        <w:rPr>
          <w:rFonts w:ascii="Times New Roman" w:cs="Times New Roman" w:eastAsia="Times New Roman" w:hAnsi="Times New Roman"/>
          <w:sz w:val="22"/>
          <w:szCs w:val="22"/>
          <w:color w:val="auto"/>
        </w:rPr>
        <w:t>Апробация работы. Основные положения диссертации и результаты исследований доложены и обсуждены на 1-м (Улан-Батор, 2000) и 2-м (Иркутск, 2001) монголо-русских международных медицинских симпозиумах, на межрегиональной научно-практической конференции «Актуальные вопросы современной клинической медицины» (Иркутск, 2000), на Четвертом Российском научном форуме с международным участием (Санкт-Петербург - Гастроэнтерология - 2002), на Восьмой (2002), Девятой (2003) и Десятой (2004) Российских Гастроэнтерологических Неделях (Москва), на юбилейной конференции, посвященной 80-летию кафедры инфекционных болезней ИГМУ (2003).</w:t>
      </w:r>
    </w:p>
    <w:p>
      <w:pPr>
        <w:spacing w:after="0" w:line="1" w:lineRule="exact"/>
        <w:rPr>
          <w:sz w:val="20"/>
          <w:szCs w:val="20"/>
          <w:color w:val="auto"/>
        </w:rPr>
      </w:pPr>
    </w:p>
    <w:p>
      <w:pPr>
        <w:jc w:val="both"/>
        <w:ind w:left="260" w:firstLine="159"/>
        <w:spacing w:after="0" w:line="239" w:lineRule="auto"/>
        <w:rPr>
          <w:sz w:val="20"/>
          <w:szCs w:val="20"/>
          <w:color w:val="auto"/>
        </w:rPr>
      </w:pPr>
      <w:r>
        <w:rPr>
          <w:rFonts w:ascii="Times New Roman" w:cs="Times New Roman" w:eastAsia="Times New Roman" w:hAnsi="Times New Roman"/>
          <w:sz w:val="22"/>
          <w:szCs w:val="22"/>
          <w:color w:val="auto"/>
        </w:rPr>
        <w:t>Публикации. По теме диссертации опубликовано 15 печатных работ, из них 6 в рекомендованных ВАК журналах, 3 в международной печати, остальные - в других столичных и иркутских журналах.</w:t>
      </w:r>
    </w:p>
    <w:p>
      <w:pPr>
        <w:ind w:left="420"/>
        <w:spacing w:after="0" w:line="239" w:lineRule="auto"/>
        <w:rPr>
          <w:sz w:val="20"/>
          <w:szCs w:val="20"/>
          <w:color w:val="auto"/>
        </w:rPr>
      </w:pPr>
      <w:r>
        <w:rPr>
          <w:rFonts w:ascii="Times New Roman" w:cs="Times New Roman" w:eastAsia="Times New Roman" w:hAnsi="Times New Roman"/>
          <w:sz w:val="22"/>
          <w:szCs w:val="22"/>
          <w:color w:val="auto"/>
        </w:rPr>
        <w:t>Объем и структура диссертации. Диссертация изложена на 117 страницах машинописного текста</w:t>
      </w:r>
    </w:p>
    <w:p>
      <w:pPr>
        <w:jc w:val="both"/>
        <w:ind w:left="260" w:hanging="1"/>
        <w:spacing w:after="0" w:line="239" w:lineRule="auto"/>
        <w:tabs>
          <w:tab w:leader="none" w:pos="500"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состоит из введения, обзора литературы, материалов и методов исследования, результатов исследований, общего обсуждения, выводов. Работа иллюстрирована 17 таблицами и 9 рисунками. Список литературы содержит 55 отечественных и 172 зарубежных источника.</w:t>
      </w:r>
    </w:p>
    <w:p>
      <w:pPr>
        <w:spacing w:after="0" w:line="2" w:lineRule="exact"/>
        <w:rPr>
          <w:rFonts w:ascii="Times New Roman" w:cs="Times New Roman" w:eastAsia="Times New Roman" w:hAnsi="Times New Roman"/>
          <w:sz w:val="22"/>
          <w:szCs w:val="22"/>
          <w:color w:val="auto"/>
        </w:rPr>
      </w:pPr>
    </w:p>
    <w:p>
      <w:pPr>
        <w:ind w:left="54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Заключение:</w:t>
      </w:r>
    </w:p>
    <w:p>
      <w:pPr>
        <w:spacing w:after="0" w:line="1" w:lineRule="exact"/>
        <w:rPr>
          <w:rFonts w:ascii="Times New Roman" w:cs="Times New Roman" w:eastAsia="Times New Roman" w:hAnsi="Times New Roman"/>
          <w:sz w:val="22"/>
          <w:szCs w:val="22"/>
          <w:color w:val="auto"/>
        </w:rPr>
      </w:pPr>
    </w:p>
    <w:p>
      <w:pPr>
        <w:ind w:left="700" w:hanging="215"/>
        <w:spacing w:after="0" w:line="237" w:lineRule="auto"/>
        <w:tabs>
          <w:tab w:leader="none" w:pos="700" w:val="left"/>
        </w:tabs>
        <w:numPr>
          <w:ilvl w:val="1"/>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ВЫВОДЫ</w:t>
      </w:r>
    </w:p>
    <w:p>
      <w:pPr>
        <w:spacing w:after="0" w:line="5" w:lineRule="exact"/>
        <w:rPr>
          <w:sz w:val="20"/>
          <w:szCs w:val="20"/>
          <w:color w:val="auto"/>
        </w:rPr>
      </w:pPr>
    </w:p>
    <w:p>
      <w:pPr>
        <w:ind w:left="260" w:hanging="1"/>
        <w:spacing w:after="0" w:line="239" w:lineRule="auto"/>
        <w:tabs>
          <w:tab w:leader="none" w:pos="515"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При всех вирусных гепатитах независимо от этиологии и течения заболевания в эритроцитах происходит увеличение активности глутатионпе-роксидазы, глутатионредуктазы и снижение концентрации восстановленного глутатиона, а в плазме крови - возрастание активностей глутатионтрансферазы, глутатионпероксидазы и гамма-глутамилтрансферазы. При острых, но не хронических вирусных гепатитах в плазме увеличивается активность глутатионредуктазы и концентрация глутатиона, намного резче возрастает активность глутатионтрансферазы. При хроническом вирусном гепатите С повышается активность глутатионтрансферазы эритроцитов.</w:t>
      </w:r>
    </w:p>
    <w:p>
      <w:pPr>
        <w:spacing w:after="0" w:line="7" w:lineRule="exact"/>
        <w:rPr>
          <w:rFonts w:ascii="Times New Roman" w:cs="Times New Roman" w:eastAsia="Times New Roman" w:hAnsi="Times New Roman"/>
          <w:sz w:val="22"/>
          <w:szCs w:val="22"/>
          <w:b w:val="1"/>
          <w:bCs w:val="1"/>
          <w:color w:val="auto"/>
        </w:rPr>
      </w:pPr>
    </w:p>
    <w:p>
      <w:pPr>
        <w:jc w:val="both"/>
        <w:ind w:left="260" w:hanging="1"/>
        <w:spacing w:after="0"/>
        <w:tabs>
          <w:tab w:leader="none" w:pos="548"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Острый вирусный гепатит В с тяжелым течением сопровождается изменениями меньшего количества параметров системы глутатиона, чем гепатит со среднетяжелым течением (особенно в плазме крови), и эти изменения менее выражены (развивается «билирубин-глутатионовая диссоциация»).</w:t>
      </w:r>
    </w:p>
    <w:p>
      <w:pPr>
        <w:jc w:val="both"/>
        <w:ind w:left="260" w:hanging="1"/>
        <w:spacing w:after="0" w:line="239" w:lineRule="auto"/>
        <w:tabs>
          <w:tab w:leader="none" w:pos="711"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При заболеваниях желчного пузыря в эритроцитах увеличивается активность глутатионредуктазы и понижается активность глутатионтрансферазы, в плазме возрастают концентрация глутатиона и активности глутатионтрансферазы и гамма-глутамилтрансферазы. Глутатионпероксидаза плазмы увеличивается при трех заболеваниях (хроническом некалькулезном холецистите, хроническом калькулезном холецистите и дискинезии желчного пузыря), но не у больных хроническим калькулезным холециститом после холецистэктомии. Эти изменения отличаются от сдвигов при вирусных гепатитах.</w:t>
      </w:r>
    </w:p>
    <w:p>
      <w:pPr>
        <w:spacing w:after="0" w:line="7" w:lineRule="exact"/>
        <w:rPr>
          <w:rFonts w:ascii="Times New Roman" w:cs="Times New Roman" w:eastAsia="Times New Roman" w:hAnsi="Times New Roman"/>
          <w:sz w:val="22"/>
          <w:szCs w:val="22"/>
          <w:b w:val="1"/>
          <w:bCs w:val="1"/>
          <w:color w:val="auto"/>
        </w:rPr>
      </w:pPr>
    </w:p>
    <w:p>
      <w:pPr>
        <w:jc w:val="both"/>
        <w:ind w:left="260" w:hanging="1"/>
        <w:spacing w:after="0" w:line="239" w:lineRule="auto"/>
        <w:tabs>
          <w:tab w:leader="none" w:pos="529"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Корреляция между параметрами системы глутатиона в группе контроля и при исследуемых патологических состояниях отсутствует. Вместе с различиями изменений в эритроцитах и в плазме это показывает, что в крови функционирует не одна, а две независимые системы глутатиона.</w:t>
      </w:r>
    </w:p>
    <w:p>
      <w:pPr>
        <w:jc w:val="both"/>
        <w:ind w:left="260" w:hanging="1"/>
        <w:spacing w:after="0"/>
        <w:tabs>
          <w:tab w:leader="none" w:pos="682"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У больных хроническим некалькулезным холециститом и с состоянием после холецистэктомиии противовоспалительное лечение с добавлением урсодезоксихолевой кислоты, а после холецистэктомии - и S-аденозилметионина вызывает повышение активности глутатионпероксидазы и нормализацию активности глутатионтрансферазы в эритроцитах, нормализацию концентрации восстановленного глутатиона в плазме.</w:t>
      </w:r>
    </w:p>
    <w:p>
      <w:pPr>
        <w:spacing w:after="0" w:line="2" w:lineRule="exact"/>
        <w:rPr>
          <w:rFonts w:ascii="Times New Roman" w:cs="Times New Roman" w:eastAsia="Times New Roman" w:hAnsi="Times New Roman"/>
          <w:sz w:val="22"/>
          <w:szCs w:val="22"/>
          <w:b w:val="1"/>
          <w:bCs w:val="1"/>
          <w:color w:val="auto"/>
        </w:rPr>
      </w:pPr>
    </w:p>
    <w:p>
      <w:pPr>
        <w:jc w:val="both"/>
        <w:ind w:left="260" w:hanging="1"/>
        <w:spacing w:after="0" w:line="253" w:lineRule="auto"/>
        <w:tabs>
          <w:tab w:leader="none" w:pos="495" w:val="left"/>
        </w:tabs>
        <w:numPr>
          <w:ilvl w:val="0"/>
          <w:numId w:val="6"/>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В стенке оперативно удаленных желчных пузырей при хроническом калькулезном холецистите концентрация глутатиона близка к таковой в эритроцитах, а активность ферментов метаболизма глутатиона на 0,5-2 порядка выше, чем в эритроцитах. Обострение воспаления понижает, а метаплазия повышает концентрацию глутатиона в слизистой оболочке, воспаление и усиление</w:t>
      </w:r>
    </w:p>
    <w:p>
      <w:pPr>
        <w:sectPr>
          <w:pgSz w:w="11900" w:h="16838" w:orient="portrait"/>
          <w:cols w:equalWidth="0" w:num="1">
            <w:col w:w="9620"/>
          </w:cols>
          <w:pgMar w:left="1440" w:top="1099" w:right="844" w:bottom="953" w:gutter="0" w:footer="0" w:header="0"/>
        </w:sectPr>
      </w:pPr>
    </w:p>
    <w:bookmarkStart w:id="3" w:name="page4"/>
    <w:bookmarkEnd w:id="3"/>
    <w:p>
      <w:pPr>
        <w:ind w:left="260"/>
        <w:spacing w:after="0" w:line="239" w:lineRule="auto"/>
        <w:rPr>
          <w:sz w:val="20"/>
          <w:szCs w:val="20"/>
          <w:color w:val="auto"/>
        </w:rPr>
      </w:pPr>
      <w:r>
        <w:rPr>
          <w:rFonts w:ascii="Times New Roman" w:cs="Times New Roman" w:eastAsia="Times New Roman" w:hAnsi="Times New Roman"/>
          <w:sz w:val="22"/>
          <w:szCs w:val="22"/>
          <w:color w:val="auto"/>
        </w:rPr>
        <w:t>склероза снижают активность глутатионтрансферазы в серозной оболочке. Все три нарушения снижают глутатионпероксидазу в обеих оболочках пузыря.</w:t>
      </w:r>
    </w:p>
    <w:p>
      <w:pPr>
        <w:spacing w:after="0" w:line="5" w:lineRule="exact"/>
        <w:rPr>
          <w:sz w:val="20"/>
          <w:szCs w:val="20"/>
          <w:color w:val="auto"/>
        </w:rPr>
      </w:pPr>
    </w:p>
    <w:p>
      <w:pPr>
        <w:ind w:left="260" w:right="20" w:hanging="1"/>
        <w:spacing w:after="0" w:line="239" w:lineRule="auto"/>
        <w:tabs>
          <w:tab w:leader="none" w:pos="673" w:val="left"/>
        </w:tabs>
        <w:numPr>
          <w:ilvl w:val="0"/>
          <w:numId w:val="7"/>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Показатели обмена глутатиона крови при гепатобилиарных заболеваниях имеют патогенетическое и определенное диагностическое значение.</w:t>
      </w:r>
    </w:p>
    <w:p>
      <w:pPr>
        <w:ind w:left="42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color w:val="auto"/>
        </w:rPr>
        <w:t>4.2.6. Заключение</w:t>
      </w:r>
    </w:p>
    <w:p>
      <w:pPr>
        <w:spacing w:after="0" w:line="1" w:lineRule="exact"/>
        <w:rPr>
          <w:rFonts w:ascii="Times New Roman" w:cs="Times New Roman" w:eastAsia="Times New Roman" w:hAnsi="Times New Roman"/>
          <w:sz w:val="22"/>
          <w:szCs w:val="22"/>
          <w:b w:val="1"/>
          <w:bCs w:val="1"/>
          <w:color w:val="auto"/>
        </w:rPr>
      </w:pPr>
    </w:p>
    <w:p>
      <w:pPr>
        <w:jc w:val="both"/>
        <w:ind w:left="260" w:firstLine="215"/>
        <w:spacing w:after="0"/>
        <w:tabs>
          <w:tab w:leader="none" w:pos="759" w:val="left"/>
        </w:tabs>
        <w:numPr>
          <w:ilvl w:val="1"/>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результате комплексного исследования системы глутатиона в крови при всех четырех заболеваниях ЖП по сравнению с группой контроля выявлено снижение активности ГТ и повышение активности ГР в эритроцитах, а также повышение концентрации GSH и активностей ГТ, ГТТ в плазме. У больных ХНХ, ХКХ и ДЖП, но не у больных с состоянием ПХЭ в плазме повышалась и активность ГПО; в эритроцитах активность ГПО не менялась ни в одной клинической группе. Активность ГТТ при хронических заболеваниях ЖП была чаще ниже, чем при ВГ. Например, всегда наблюдались значимые отличия по данному показателю между ВГ С и заболеваниями ЖП. После лечения больных ХНХ и больных с состоянием ПХЭ противовоспалительными препаратами с добавлением урсодезоксихолевой кислотой, а при состоянии ПХЭ и S-аденозилметионина в норму пришли два показателя - активность ГТ эритроцитов и концентрация GSH плазмы, повысилась активность ГПО эритроцитов.</w:t>
      </w:r>
    </w:p>
    <w:p>
      <w:pPr>
        <w:spacing w:after="0" w:line="1" w:lineRule="exact"/>
        <w:rPr>
          <w:rFonts w:ascii="Times New Roman" w:cs="Times New Roman" w:eastAsia="Times New Roman" w:hAnsi="Times New Roman"/>
          <w:sz w:val="22"/>
          <w:szCs w:val="22"/>
          <w:color w:val="auto"/>
        </w:rPr>
      </w:pPr>
    </w:p>
    <w:p>
      <w:pPr>
        <w:jc w:val="both"/>
        <w:ind w:left="260" w:firstLine="216"/>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Таким образом, большинство сдвигов в крови при всех изученных заболеваниях ЖП подобны, за исключением активности ГПО плазмы, которая не менялась у больных с состоянием ПХЭ и увеличивалась при остальных заболеваниях. ХНХ и ХКХ отличались по активностям ГТ и ГР эритроцитов (р&lt;0,05): активность ГТ была ниже при ХКХ, активность ГР - при ХНХ. Больные ХНХ и с состоянием ПХЭ отличались по активности ГР эритроцитов (при ХНХ активность фермента была ниже). Наличие подобных сдвигов свидетельствует о наличии общих механизмов в патогенезе этих заболеваний. Прямая связь между некалькулезным и калькулезным холециститами является достаточно доказанной [Галкин В.А. и соавт., 2003]. Дискинезии могут возникать не только как самостоятельные заболевания, но и являться дополнительным и/или промежуточным звеном, связуюшим некалькулезный и калькулезный холециститы [Шерлок Ш., Дули Дж., 1999]. Симптомы состояния ПХЭ наблюдаются у 20-40% больных ХКХ, перенесших холецистэк-томию, но причины их появления недостаточно изучены.</w:t>
      </w:r>
    </w:p>
    <w:p>
      <w:pPr>
        <w:spacing w:after="0" w:line="10" w:lineRule="exact"/>
        <w:rPr>
          <w:rFonts w:ascii="Times New Roman" w:cs="Times New Roman" w:eastAsia="Times New Roman" w:hAnsi="Times New Roman"/>
          <w:sz w:val="22"/>
          <w:szCs w:val="22"/>
          <w:color w:val="auto"/>
        </w:rPr>
      </w:pPr>
    </w:p>
    <w:p>
      <w:pPr>
        <w:jc w:val="both"/>
        <w:ind w:left="260" w:firstLine="215"/>
        <w:spacing w:after="0"/>
        <w:tabs>
          <w:tab w:leader="none" w:pos="677" w:val="left"/>
        </w:tabs>
        <w:numPr>
          <w:ilvl w:val="1"/>
          <w:numId w:val="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желчных пузырях усиление воспаления снижает концентрацию GSH в слизистой и активность ГПО в обеих оболочках пузыря. Увеличение концентрации GSH в слизистой сочетается с метаплазией по желудочному типу. Склероз и метаплазия также снижают активность ГПО в обеих оболочках пузыря.</w:t>
      </w:r>
    </w:p>
    <w:p>
      <w:pPr>
        <w:jc w:val="both"/>
        <w:ind w:left="260" w:firstLine="26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Повышение активности ГР эритроцитов, вероятно, результат ее активации и/или индукции в эритроцитах и их предшественниках. Увеличение концентрации GSH и активности ферментов его метаболизма в плазме — следствие их выхода из гепатоцитов, холангиоцитов, клеток эпителия внут-рипеченочных протоков и других клеток в результате увеличения проницаемости или цитолиза. Снижение концентрации GSH плазмы после лечения происходит, очевидно, из-за стабилизации мембран при действии на них ге-патопротекторов, и вероятно, в результате снижения концентрации GSH в гепатоцитах при устранении в них задержки в них желчи, и следовательно, задержки GSH.</w:t>
      </w:r>
    </w:p>
    <w:p>
      <w:pPr>
        <w:spacing w:after="0" w:line="4" w:lineRule="exact"/>
        <w:rPr>
          <w:rFonts w:ascii="Times New Roman" w:cs="Times New Roman" w:eastAsia="Times New Roman" w:hAnsi="Times New Roman"/>
          <w:sz w:val="22"/>
          <w:szCs w:val="22"/>
          <w:color w:val="auto"/>
        </w:rPr>
      </w:pPr>
    </w:p>
    <w:p>
      <w:pPr>
        <w:jc w:val="both"/>
        <w:ind w:left="260" w:firstLine="269"/>
        <w:spacing w:after="0" w:line="24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Корреляции между показателями системы глутатиона при хронических заболеваниях ЖП оказались редки (5 пар из 69). Эти корреляции, вероятно, являются следствием влияния одних и тех же факторов (фактора) на ферменты в эритроцитах или в печени.</w:t>
      </w:r>
    </w:p>
    <w:p>
      <w:pPr>
        <w:jc w:val="both"/>
        <w:ind w:left="260" w:firstLine="26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Таким образом, при исследовании системы глутатиона у больных с заболеваниями ЖП установлены следующие общие сдвиги: в эритроцитах увеличивается активность ГР и понижается активность ГТ, в плазме увеличиваются концентрация GSH, активности ГТ и ГГТ. Ни при одном заболевании не изменялись концентрация GSH и активности ГПО в эритроцитах и ГР в плазме, а ГПО в плазме - у больных с состоянием ПХЭ. После лечения больных ХНХ и с состоянием ПХЭ противовоспалительными препаратами в сочетании с урсодезоксихолевой кислотой (с состоянием ПХЭ, также S-аденозилметионином) активности ГТ и ГПО эритроцитов повышаются, а концентрация GSH плазмы снижается до нормы. В обеих оболочках желчного пузыря при обострении воспалительного процесса снижается активность ГПО, в слизистой - концентрация GSH, в серозной - активность ГТ. Сильный склероз вызывает снижение активностей ГТ в серозной оболочке и ГПО в обеих оболочках. При желудочной (но не кишечной) метаплазии слизистой в ней увеличивалась концентрация GSH, в обеих оболочках снижается активность ГТ и ГПО.</w:t>
      </w:r>
    </w:p>
    <w:p>
      <w:pPr>
        <w:spacing w:after="0" w:line="9" w:lineRule="exact"/>
        <w:rPr>
          <w:rFonts w:ascii="Times New Roman" w:cs="Times New Roman" w:eastAsia="Times New Roman" w:hAnsi="Times New Roman"/>
          <w:sz w:val="22"/>
          <w:szCs w:val="22"/>
          <w:color w:val="auto"/>
        </w:rPr>
      </w:pPr>
    </w:p>
    <w:p>
      <w:pPr>
        <w:ind w:left="480" w:hanging="221"/>
        <w:spacing w:after="0"/>
        <w:tabs>
          <w:tab w:leader="none" w:pos="480" w:val="left"/>
        </w:tabs>
        <w:numPr>
          <w:ilvl w:val="0"/>
          <w:numId w:val="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ОБЩЕЕ ОБСУЖДЕНИЕ</w:t>
      </w:r>
    </w:p>
    <w:p>
      <w:pPr>
        <w:sectPr>
          <w:pgSz w:w="11900" w:h="16838" w:orient="portrait"/>
          <w:cols w:equalWidth="0" w:num="1">
            <w:col w:w="9620"/>
          </w:cols>
          <w:pgMar w:left="1440" w:top="1099" w:right="844" w:bottom="1007" w:gutter="0" w:footer="0" w:header="0"/>
        </w:sectPr>
      </w:pPr>
    </w:p>
    <w:bookmarkStart w:id="4" w:name="page5"/>
    <w:bookmarkEnd w:id="4"/>
    <w:p>
      <w:pPr>
        <w:jc w:val="both"/>
        <w:ind w:left="260" w:firstLine="162"/>
        <w:spacing w:after="0"/>
        <w:tabs>
          <w:tab w:leader="none" w:pos="716" w:val="left"/>
        </w:tabs>
        <w:numPr>
          <w:ilvl w:val="1"/>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работе изложены результаты исследования системы глутатиона в крови у больных 9 клинических групп: 5 ВГ (ВГ А, ОВГ В, ХВГ В, ОВГ С, ХВГ С) и 4 заболеваний ЖП (ХНХ, ХКХ, ДЖП, ПХЭ). У всех больных ВГ был выраженный цитолитический синдром, патология со стороны ЖП отсутствовала. Из группы пациентов с заболеваниями ЖП исключали больных ВГ. Дана характеристика сдвигов в системе глутатиона для каждой клинической группы и все они сравнены с группой контроля (здоровые добровольцы) и между собой. При ОВГ В изучено влияние на систему глутатиона тяжести заболевания. Объединенные группы (острые гепатиты В и</w:t>
      </w:r>
    </w:p>
    <w:p>
      <w:pPr>
        <w:jc w:val="both"/>
        <w:ind w:left="260" w:hanging="1"/>
        <w:spacing w:after="0"/>
        <w:tabs>
          <w:tab w:leader="none" w:pos="481" w:val="left"/>
        </w:tabs>
        <w:numPr>
          <w:ilvl w:val="0"/>
          <w:numId w:val="9"/>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 гепатит А, хронические гепатиты В и С) сравнивали с группой контроля и между собой. Все группы гепатитов, в том числе и объединенные, сравнивали с объединенной группой заболеваний ЖП. У части больных ХНХ и с состоянием ПХЭ кровь исследовали после лечения противовоспалительными препаратами и урсодезоксихолевой кислотой (лекарство Урсосан), Изучена зависимость системы глутатиона в слизистой и серозной оболочках желчного пузыря от обострения воспалительного процесса, выраженности склероза и наличия или отсутствия метаплазии.</w:t>
      </w:r>
    </w:p>
    <w:p>
      <w:pPr>
        <w:jc w:val="both"/>
        <w:ind w:left="260" w:firstLine="106"/>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Показатели системы глутатиона - концентрация GSH, активности ГТ, ГПО и ГР были исследованы отдельно в эритроцитах и плазме. В плазме определяли и активность ГГТ. В желчных пузырях концентрация GSH, активности ГТ, ГПО и ГР были исследованы отдельно в слизистой и серозной оболочках.</w:t>
      </w:r>
    </w:p>
    <w:p>
      <w:pPr>
        <w:jc w:val="both"/>
        <w:ind w:left="260" w:firstLine="216"/>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При различных заболеваниях печени развиваются закономерные изменения обмена глутатиона в эритроцитах и плазме крови. Наиболее общие из них, характерные для всех 9 изученных заболеваний, а также для объединенных групп ВГ и заболеваний ЖП - это увеличение активности ГР эритроцитов, активностей ГТ и ГГТ плазмы, а при 8 заболеваниях, но не при состоянии ПХЭ - и увеличение активности ГПО плазмы (рис.4, 5, 6 и 7).</w:t>
      </w:r>
    </w:p>
    <w:p>
      <w:pPr>
        <w:spacing w:after="0" w:line="2" w:lineRule="exact"/>
        <w:rPr>
          <w:rFonts w:ascii="Times New Roman" w:cs="Times New Roman" w:eastAsia="Times New Roman" w:hAnsi="Times New Roman"/>
          <w:sz w:val="22"/>
          <w:szCs w:val="22"/>
          <w:color w:val="auto"/>
        </w:rPr>
      </w:pPr>
    </w:p>
    <w:p>
      <w:pPr>
        <w:jc w:val="both"/>
        <w:ind w:left="260" w:firstLine="26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Только при всех пяти вирусных гепатитах происходит снижение концентрации GSH и увеличение активности ГПО в эритроцитах, только при острых ВГ увеличиваются уровень GSH и активность ГР в плазме. Эти сдвиги естественно объяснить большей тяжестью процесса, более выраженным поражением гепатоцитов. Выявлены отличия по активности ГТ плазмы между отдельными группами ВГ: между ВГ А и ОВГ В, ОВГ В и ХВГ В, ВГ А и ОВГ С (р&lt;0,001) (при ОВГ В и ОВГ С активность фермента была выше), а также между объединенными группами ВГ (р&lt;0,01) (выше при острых ВГ).</w:t>
      </w:r>
    </w:p>
    <w:p>
      <w:pPr>
        <w:jc w:val="both"/>
        <w:ind w:left="260" w:firstLine="26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Только при всех четырех хронических заболеваниях ЖП снижается активность ГТ эритроцитов, что может быть опосредовано длительным влиянием на организм застоя желчи, повышением ее литогенности. При этих же заболеваниях и ОВГ увеличивается концентрация GSH в плазме. При заболеваниях ЖП не менялись концентрация GSH и активности ГПО эритроцитов и ГР плазмы. Таким образом, большинство сдвигов в крови при всех изученных заболеваниях ЖП подобны, за исключением активности ГПО плазмы, которая не менялась у больных с состоянием ПХЭ и увеличивалась при остальных заболеваниях. ХНХ и ХКХ отличались по активностям ГТ и ГР эритроцитов (р&lt;0,05): ГТ была ниже при ХКХ, а ГР - при ХНХ. ХНХ и состояние ПХЭ отличались по ГР эритроцитов (при ХНХ активность фермента была ниже).</w:t>
      </w:r>
    </w:p>
    <w:p>
      <w:pPr>
        <w:spacing w:after="0" w:line="2" w:lineRule="exact"/>
        <w:rPr>
          <w:rFonts w:ascii="Times New Roman" w:cs="Times New Roman" w:eastAsia="Times New Roman" w:hAnsi="Times New Roman"/>
          <w:sz w:val="22"/>
          <w:szCs w:val="22"/>
          <w:color w:val="auto"/>
        </w:rPr>
      </w:pPr>
    </w:p>
    <w:p>
      <w:pPr>
        <w:jc w:val="both"/>
        <w:ind w:left="260" w:firstLine="216"/>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Статистически значимые различия между пятью заболеваниями ВГ и четырьмя заболеваниями ЖП подтверждены при сравнении двух объединенных групп, которые значимо отличались по активностям ГТ эритроцитов, ГТ и ГГТ плазмы, только при патологии ЖП снижалась активность ГТ в эритроцитах, а при ВГ сильнее увеличены ГГТ и особенно ГТ в плазме крови (рис. 4,5,6).</w:t>
      </w:r>
    </w:p>
    <w:p>
      <w:pPr>
        <w:jc w:val="both"/>
        <w:ind w:left="26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Обнаружены противоположные изменения при различных заболеваниях печени - небольшая активация ГТ в эритроцитах при ХВГ С и снижение активности фермента при всех заболеваниях ЖП. Общий и неспецифичный характер многих сдвигов свидетельствует о вовлечении системы глутатиона в течение и, скорее - в ингибирование воспалительных процессов (и/или их последствия) в печени, т.к. противовоспалительные эффекты глутатиона доказаны (см. раздел</w:t>
      </w:r>
    </w:p>
    <w:p>
      <w:pPr>
        <w:spacing w:after="0" w:line="2"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2.1.).</w:t>
      </w:r>
    </w:p>
    <w:p>
      <w:pPr>
        <w:spacing w:after="0" w:line="1" w:lineRule="exact"/>
        <w:rPr>
          <w:rFonts w:ascii="Times New Roman" w:cs="Times New Roman" w:eastAsia="Times New Roman" w:hAnsi="Times New Roman"/>
          <w:sz w:val="22"/>
          <w:szCs w:val="22"/>
          <w:color w:val="auto"/>
        </w:rPr>
      </w:pPr>
    </w:p>
    <w:p>
      <w:pPr>
        <w:jc w:val="both"/>
        <w:ind w:left="260" w:firstLine="269"/>
        <w:spacing w:after="0" w:line="24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Общепризнано, что основной причиной выраженной гиперферменте-мии при воспалительных заболеваниях и повреждении клеток является увеличение проницаемости клеточных мембран вследствие повышения генерации АФК и окислительной модификации молекул липидов и белков. Важную роль этих процессов при вирусных инфекциях проанализировал В.П. Скулачев (1998). Это еще более выражено при цитолизе, происходящим при некрозе (но не апоптозе, при котором содержимое клеток остается внутри фрагментов мембран) [Baron V., Muriel P., 1999]. Все эти патобиохимические механизмы активированы при изученных нами заболеваниях печени, что закономерно приводит к диффузии из гепатоцитов и аккумуляции в крови ферментов — аланин- и</w:t>
      </w:r>
    </w:p>
    <w:p>
      <w:pPr>
        <w:sectPr>
          <w:pgSz w:w="11900" w:h="16838" w:orient="portrait"/>
          <w:cols w:equalWidth="0" w:num="1">
            <w:col w:w="9620"/>
          </w:cols>
          <w:pgMar w:left="1440" w:top="1099" w:right="844" w:bottom="711" w:gutter="0" w:footer="0" w:header="0"/>
        </w:sectPr>
      </w:pPr>
    </w:p>
    <w:bookmarkStart w:id="5" w:name="page6"/>
    <w:bookmarkEnd w:id="5"/>
    <w:p>
      <w:pPr>
        <w:jc w:val="both"/>
        <w:ind w:left="260" w:hanging="1"/>
        <w:spacing w:after="0"/>
        <w:tabs>
          <w:tab w:leader="none" w:pos="481"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меньшей степени аспартатаминотрансферазы [Со-ринсон С.Р., 1998; Лобзин Ю.В. и соавт., 1999.]. Именно такие сдвиги - ги-перферментемия со стороны всех четырех энзимов метаболизма глутатиона и накопление в плазме самого трипептида обнаружены нами. Выход в плазму молекул ГР и GSH только при острых, но не хронических ВГ явно связан с тем, что при первых намного больше интенсивность воспаления и цитолиза. Изменения системы глутатиона в плазме при гепатитах, а именно, максимальная аккумуляция в плазме молекул ГТ, средняя выраженность сдвигов в активности ГПО и ГГТ и минимальное увеличение активности ГР соответствуют ряду активности этих ферментов в печени [Кулинский В.И., Колесниченко JI.C., 1990а]. Вероятно, при хронических гепатитах этим сдвигам способствует увеличение активности ГР, ГПО и ГТ в гепатоцитах при хронических заболеваниях печени, описанное А. С. Логиновым и соавторами [1997] . Наибольшая выраженность аккумуляции в плазме ГТ при острых ВГ В и С соответствует максимальному развитию при них некроза [Соринсон, 1998].</w:t>
      </w:r>
    </w:p>
    <w:p>
      <w:pPr>
        <w:spacing w:after="0" w:line="2" w:lineRule="exact"/>
        <w:rPr>
          <w:rFonts w:ascii="Times New Roman" w:cs="Times New Roman" w:eastAsia="Times New Roman" w:hAnsi="Times New Roman"/>
          <w:sz w:val="22"/>
          <w:szCs w:val="22"/>
          <w:color w:val="auto"/>
        </w:rPr>
      </w:pPr>
    </w:p>
    <w:p>
      <w:pPr>
        <w:ind w:left="54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Рис. 4. Сдвиги в системе глутатиона крови при вирусных гепатитах</w:t>
      </w:r>
    </w:p>
    <w:p>
      <w:pPr>
        <w:jc w:val="both"/>
        <w:ind w:left="260" w:firstLine="269"/>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Обозначения: Значения всех показателей в группе контроля (здоровые добровольцы) приняты за 100% и изображены в виде радиуса окружности. Изменения у больных (выражены в % к группе контроля) нарушают симметричность диаграммы - увеличение показателей выражается в виде «лучей», выступающих за пределы окружности, снижение показателей — в виде впадин. Черные кружочки - р&lt;0,05, пустые - р&gt;0,05. 1-4 - эритроциты, 58 - плазма, 1,5 - GSH, 2,6 - ГТ, 3,7 - ГПО,</w:t>
      </w:r>
    </w:p>
    <w:p>
      <w:pPr>
        <w:spacing w:after="0" w:line="2"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4,8 - ГР.</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Рис. 5. Сдвиги в системе глутатиона крови при хронических заболеваниях желчного пузыря Обозначения те же, что и на рисунке 4 Рис. 6. Изменение активности гамма-глутамилтрансферазы в плазме при вирусных гепатитах и хронических заболеваниях желчного пузыря 200</w:t>
      </w:r>
    </w:p>
    <w:p>
      <w:pPr>
        <w:spacing w:after="0" w:line="248"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12345 6789</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Обозначения: 1 - ВГ А, 2 - ОВГ В, 3 - ХВГ В, 4 - ОВГ С,</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5 - ХВГ С, 6 - ХНХ, 7 - ХКХ, 8 - ДЖП, 9 - ПХЭ. Все сдвиги значимы (р &lt; 0,05).</w:t>
      </w:r>
    </w:p>
    <w:p>
      <w:pPr>
        <w:spacing w:after="0" w:line="1" w:lineRule="exact"/>
        <w:rPr>
          <w:rFonts w:ascii="Times New Roman" w:cs="Times New Roman" w:eastAsia="Times New Roman" w:hAnsi="Times New Roman"/>
          <w:sz w:val="22"/>
          <w:szCs w:val="22"/>
          <w:color w:val="auto"/>
        </w:rPr>
      </w:pPr>
    </w:p>
    <w:p>
      <w:pPr>
        <w:ind w:left="26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Рис. 7. Сдвиги в системе глутатиона крови в объединенных группах вирусных гепатитов и хронических заболеваний желчного пузыря заболевания ЖП (все 4)</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Обозначения те же, что на рисунке 4.</w:t>
      </w:r>
    </w:p>
    <w:p>
      <w:pPr>
        <w:spacing w:after="0" w:line="2" w:lineRule="exact"/>
        <w:rPr>
          <w:rFonts w:ascii="Times New Roman" w:cs="Times New Roman" w:eastAsia="Times New Roman" w:hAnsi="Times New Roman"/>
          <w:sz w:val="22"/>
          <w:szCs w:val="22"/>
          <w:color w:val="auto"/>
        </w:rPr>
      </w:pPr>
    </w:p>
    <w:p>
      <w:pPr>
        <w:jc w:val="both"/>
        <w:ind w:left="260" w:firstLine="26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Печеночное происхождение ГТ плазмы доказывается тем, что в плазме аккумулируется максимально содержащийся в гепатоцитах а-изофермент ГТ, a не характерный для эритроцитов я-</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изофермент [Mannervik В., 1997]</w:t>
      </w:r>
    </w:p>
    <w:p>
      <w:pPr>
        <w:spacing w:after="0" w:line="1" w:lineRule="exact"/>
        <w:rPr>
          <w:rFonts w:ascii="Times New Roman" w:cs="Times New Roman" w:eastAsia="Times New Roman" w:hAnsi="Times New Roman"/>
          <w:sz w:val="22"/>
          <w:szCs w:val="22"/>
          <w:color w:val="auto"/>
        </w:rPr>
      </w:pPr>
    </w:p>
    <w:p>
      <w:pPr>
        <w:jc w:val="both"/>
        <w:ind w:left="260" w:firstLine="437"/>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Увеличение в плазме крови активности мембрансвязанного фермента ГГТ можно объяснить описанной Liu R.M. et al., (1998) индукцией ГГТ в печени при окислительном стрессе и повреждением мембран. Очевидно, при изученных нами заболеваниях повреждаются не только гепатоциты, но и желчные протоки, в которых активность ГТТ намного выше. Свой вклад может вносить и умеренный внутрипеченочный холестаз. Высокие показатели ГГТ обнаружены нами при ОВГ С и В и ХВГ С - в 2,5-2,8 раза, умеренные</w:t>
      </w:r>
    </w:p>
    <w:p>
      <w:pPr>
        <w:spacing w:after="0" w:line="5" w:lineRule="exact"/>
        <w:rPr>
          <w:rFonts w:ascii="Times New Roman" w:cs="Times New Roman" w:eastAsia="Times New Roman" w:hAnsi="Times New Roman"/>
          <w:sz w:val="22"/>
          <w:szCs w:val="22"/>
          <w:color w:val="auto"/>
        </w:rPr>
      </w:pPr>
    </w:p>
    <w:p>
      <w:pPr>
        <w:ind w:left="500" w:hanging="135"/>
        <w:spacing w:after="0"/>
        <w:tabs>
          <w:tab w:leader="none" w:pos="500" w:val="left"/>
        </w:tabs>
        <w:numPr>
          <w:ilvl w:val="1"/>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при ХВГ В и гепатите А - примерно в 2 раза, значимые, но невысокие — при заболеваниях ЖП -</w:t>
      </w:r>
    </w:p>
    <w:p>
      <w:pPr>
        <w:spacing w:after="0" w:line="1" w:lineRule="exact"/>
        <w:rPr>
          <w:rFonts w:ascii="Times New Roman" w:cs="Times New Roman" w:eastAsia="Times New Roman" w:hAnsi="Times New Roman"/>
          <w:sz w:val="22"/>
          <w:szCs w:val="22"/>
          <w:color w:val="auto"/>
        </w:rPr>
      </w:pPr>
    </w:p>
    <w:p>
      <w:pPr>
        <w:jc w:val="both"/>
        <w:ind w:left="260" w:hanging="1"/>
        <w:spacing w:after="0" w:line="239" w:lineRule="auto"/>
        <w:tabs>
          <w:tab w:leader="none" w:pos="438"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1,3-1,5 раза. Активность ГГТ при хронических заболеваниях ЖП была чаще значимо ниже, чем при ВГ. Например, всегда наблюдались значимые отличия между ВГ С и всеми заболеваниями ЖП. Последнее означает, что закупорка желчных протоков отсутствовала, так как при ее наличии ГТТ увеличивается не менее чем в 10 раз [Маршалл В.Дж, 1999]. Следовательно, мнение, что аккумуляция молекул ГГТ в плазме является в основном или даже только холестатическим симптомом, явно упрощает ситуацию. Мы подтвердили как накопление ГГТ в плазме крови и при гепатитах без обструкции ЖП, что не дает возможности разграничить холеста-тический и гепатоцеллюлярный типы патологии [В.Дж. Маршалл, 1999; Цы-ганенко А.Я. и соавт., 2002], так и более высокую активность ГГТ при ВГ, чем при хронических заболеваниях ЖП [Андрейчин М.А.</w:t>
      </w:r>
    </w:p>
    <w:p>
      <w:pPr>
        <w:spacing w:after="0" w:line="7"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 соавт., 1991].</w:t>
      </w:r>
    </w:p>
    <w:p>
      <w:pPr>
        <w:spacing w:after="0" w:line="1" w:lineRule="exact"/>
        <w:rPr>
          <w:rFonts w:ascii="Times New Roman" w:cs="Times New Roman" w:eastAsia="Times New Roman" w:hAnsi="Times New Roman"/>
          <w:sz w:val="22"/>
          <w:szCs w:val="22"/>
          <w:color w:val="auto"/>
        </w:rPr>
      </w:pPr>
    </w:p>
    <w:p>
      <w:pPr>
        <w:ind w:left="64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Однако изменения метаболизма глутатиона происходят не только в плазме крови. Увеличение</w:t>
      </w:r>
    </w:p>
    <w:p>
      <w:pPr>
        <w:jc w:val="both"/>
        <w:ind w:left="260" w:hanging="1"/>
        <w:spacing w:after="0" w:line="248" w:lineRule="auto"/>
        <w:tabs>
          <w:tab w:leader="none" w:pos="486" w:val="left"/>
        </w:tabs>
        <w:numPr>
          <w:ilvl w:val="0"/>
          <w:numId w:val="1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эритроцитах активностей ГР при всех заболеваниях и ГПО при ВГ естественно связать с активацией этих ферментов в эритроцитах или их индукцией в клетках-предшественниках (индукция в самих эритроцитах невозможна из-за отсутствия ядра и матричных синтезов), а снижение активности ГТ при заболеваниях ЖП - с ингибированием или репрессией фермента. Это может быть реакцией на окислительный стресс и на увеличение литогенности желчи. Эти ферменты функционируют как антиок-сидантные: ГПО восстанавливает все виды перекисей, ГТ -</w:t>
      </w:r>
    </w:p>
    <w:p>
      <w:pPr>
        <w:sectPr>
          <w:pgSz w:w="11900" w:h="16838" w:orient="portrait"/>
          <w:cols w:equalWidth="0" w:num="1">
            <w:col w:w="9620"/>
          </w:cols>
          <w:pgMar w:left="1440" w:top="1099" w:right="844" w:bottom="958" w:gutter="0" w:footer="0" w:header="0"/>
        </w:sectPr>
      </w:pPr>
    </w:p>
    <w:bookmarkStart w:id="6" w:name="page7"/>
    <w:bookmarkEnd w:id="6"/>
    <w:p>
      <w:pPr>
        <w:ind w:left="260" w:right="20"/>
        <w:spacing w:after="0" w:line="241" w:lineRule="auto"/>
        <w:rPr>
          <w:sz w:val="20"/>
          <w:szCs w:val="20"/>
          <w:color w:val="auto"/>
        </w:rPr>
      </w:pPr>
      <w:r>
        <w:rPr>
          <w:rFonts w:ascii="Times New Roman" w:cs="Times New Roman" w:eastAsia="Times New Roman" w:hAnsi="Times New Roman"/>
          <w:sz w:val="22"/>
          <w:szCs w:val="22"/>
          <w:color w:val="auto"/>
        </w:rPr>
        <w:t>только органические, а ГР восстанавливает окисленный глутатион в GSH; кроме того, ГТ конъюгирует с GSH цитотоксичные альдегиды, включая наиболее активный</w:t>
      </w:r>
    </w:p>
    <w:p>
      <w:pPr>
        <w:spacing w:after="0" w:line="1" w:lineRule="exact"/>
        <w:rPr>
          <w:sz w:val="20"/>
          <w:szCs w:val="20"/>
          <w:color w:val="auto"/>
        </w:rPr>
      </w:pPr>
    </w:p>
    <w:p>
      <w:pPr>
        <w:jc w:val="both"/>
        <w:ind w:left="260" w:firstLine="215"/>
        <w:spacing w:after="0"/>
        <w:tabs>
          <w:tab w:leader="none" w:pos="654" w:val="left"/>
        </w:tabs>
        <w:numPr>
          <w:ilvl w:val="1"/>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2-гидроксиноненаль (см. раздел 2.2). Снижение концентрации GSH в эритроцитах при ВГ скорее всего результат использования молекул GSH для обезвреживания активных форм кислорода. Очевидно, отсутствие уменьшения трипептида при заболеваниях ЖП может объясняться меньшей интенсивностью окислительного стресса и, соответственно, воспалительно-некротических явлений. Другая возможная причина снижения концентрации GSH в эритроцитах при ВГ - снижение биосинтеза GSH. Приведенная биохимическая интерпретация обнаруженных нами сдвигов, естественно, нуждается в прямой проверке.</w:t>
      </w:r>
    </w:p>
    <w:p>
      <w:pPr>
        <w:ind w:left="260" w:firstLine="326"/>
        <w:spacing w:after="0"/>
        <w:tabs>
          <w:tab w:leader="none" w:pos="817" w:val="left"/>
        </w:tabs>
        <w:numPr>
          <w:ilvl w:val="2"/>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работе А.С. Логинова и соавторов (1997) увеличение в печени активностей ГТ, ГПО и ГР при ее хронических поражениях развивалось параллельно снижению концентрации GSH, то есть изменения уровня GSH и активности ферментов его метаболизма противоположны. Эта же закономерность, но для двух ферментов - ГПО и ГР характерна и для эритроцитов при ВГ. Это может объясняться тем, что более активные ферменты ГТ и/или ГПО расходуют молекулы GSH на обезвреживание активных форм кислорода и ксенобиотиков в большей степени, чем они успевают восстанавливаться ГР из окисленной формы глутатиона.</w:t>
      </w:r>
    </w:p>
    <w:p>
      <w:pPr>
        <w:ind w:left="58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Сравнение групп больных ОВГ В со среднетяжелым и тяжелым течением (рис. 1) показало, что</w:t>
      </w:r>
    </w:p>
    <w:p>
      <w:pPr>
        <w:jc w:val="both"/>
        <w:ind w:left="260" w:hanging="1"/>
        <w:spacing w:after="0"/>
        <w:tabs>
          <w:tab w:leader="none" w:pos="442"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первой из них из девяти изучаемых показателей состояния системы глутатиона крови значимо изменялись восемь (кроме активности ГТ эритроцитов), во второй - только три (концентрация GSH и активность ГПО в эритроцитах, активность ГТ в плазме). Активность ГТ плазмы больных со среднетяжелым течением была в 3,6 раза выше, чем у больных с тяжелым течением. Концентрация билирубина, напротив, была выше у больных с тяжелым течением. Менее выраженные изменения ряда показателей системы глутатиона у больных с тяжелым течением болезни - явное проявление характерной для декомпенсации печени билирубин-ферментной диссоциации (сохранение высокого уровня билирубина при снижении активности печеночных ферментов в плазме). Классическое объяснение этого феномена - уменьшение синтеза печеночных ферментов при сильном повреждении гепатоцитов [Дж.Ф. Зилва, П.Р. Пэннелл, 1988]. Для описанной нами реакции системы глутатиона при ОВГ В с тяжелым течением целесообразно использовать конкретный термин - «билирубин-глутатионовая диссоциация».</w:t>
      </w:r>
    </w:p>
    <w:p>
      <w:pPr>
        <w:spacing w:after="0" w:line="2" w:lineRule="exact"/>
        <w:rPr>
          <w:rFonts w:ascii="Times New Roman" w:cs="Times New Roman" w:eastAsia="Times New Roman" w:hAnsi="Times New Roman"/>
          <w:sz w:val="22"/>
          <w:szCs w:val="22"/>
          <w:color w:val="auto"/>
        </w:rPr>
      </w:pPr>
    </w:p>
    <w:p>
      <w:pPr>
        <w:jc w:val="both"/>
        <w:ind w:left="260" w:firstLine="379"/>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Корреляционный анализ показал, что значимые взаимосвязи различных показателей между собой редко встречаются при заболеваниях ЖП (суммарно в 5 парах из 69) и крайне редко при ВГ (всего в 2 парах из 96), что соответствует 7 и Z% сравниваемых пар. Совпадение коррелирующих показателей при разных заболеваниях встретилось только в 1 случае (концентрация GSH и активность ГТ эритроцитов у больных ХНХ и с состоянием ПХЭ). При объединении всех четырех заболеваний ЖП значимая корреляция встречалась в 2 парах из 16, при объединении всех пяти ВГ - в 2 парах из 20. Из этих 4 корреляций совпадала только одна - ГР с ГТ плазмы. Таким образом, наличие корреляций - это исключение из правила. Столь редкие корреляции имели место как между одинаковыми показателями в эритроцитах и плазме (только в 1 случае из 36), так и между разными показателями и в эритроцитах, и в плазме. Первое вместе с различиями изменений в эритроцитах и плазме показывает, что в крови по сути функционируют не одна, а две независимые системы глутатиона - в эритроцитах и в плазме. Это аргументируется тем, что изменения в плазме отражают сдвиги не в эритроцитах, а в поврежденных клетках и органах. Из этого следует, что определение показателей обмена глутатиона в цельной крови нецелесообразно, их надо исследовать раздельно в эритроцитах и плазме. Ранее это в некоторых работах нарушалось. Редкость взаимосвязей свидетельствует об отсутствии тесных корреляций между показателями в каждой из двух систем, о возможности независимого регулирования их компонентов и, следовательно, о высокой пластичности систем глутатиона.</w:t>
      </w:r>
    </w:p>
    <w:p>
      <w:pPr>
        <w:spacing w:after="0" w:line="15" w:lineRule="exact"/>
        <w:rPr>
          <w:rFonts w:ascii="Times New Roman" w:cs="Times New Roman" w:eastAsia="Times New Roman" w:hAnsi="Times New Roman"/>
          <w:sz w:val="22"/>
          <w:szCs w:val="22"/>
          <w:color w:val="auto"/>
        </w:rPr>
      </w:pPr>
    </w:p>
    <w:p>
      <w:pPr>
        <w:jc w:val="both"/>
        <w:ind w:left="260" w:firstLine="326"/>
        <w:spacing w:after="0" w:line="245"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Больные ХНХ и с состоянием ПХЭ получили противовоспалительное лечение с добавлением урсодезоксихолевой кислоты (УДХ, лекарство Урсо-сан), а больные с состоянием ПХЭ - ). УДХ — гепатопротектор, стабилизатор мембран и активатор SAM-синтазы [Cincu R., 1997], a SAM может использоваться для синтеза GSH [Lu S.C., 1999]. Под влиянием лечения при обоих заболеваниях произошли нормализация активности ГТ эритроцитов и концентрации GSH плазмы и значительное увеличение активности ГПО эритроцитов (рис.8). Увеличение в эритроцитах активности важных антиоксидантных ферментов ГТ и ГПО и сохранение повышенной активности ГР способствуют защите от окислительного стресса. Нормализация в плазме крови уровня GSH может говорить о снижении или устранении</w:t>
      </w:r>
    </w:p>
    <w:p>
      <w:pPr>
        <w:sectPr>
          <w:pgSz w:w="11900" w:h="16838" w:orient="portrait"/>
          <w:cols w:equalWidth="0" w:num="1">
            <w:col w:w="9620"/>
          </w:cols>
          <w:pgMar w:left="1440" w:top="1099" w:right="844" w:bottom="960" w:gutter="0" w:footer="0" w:header="0"/>
        </w:sectPr>
      </w:pPr>
    </w:p>
    <w:bookmarkStart w:id="7" w:name="page8"/>
    <w:bookmarkEnd w:id="7"/>
    <w:p>
      <w:pPr>
        <w:ind w:left="260"/>
        <w:spacing w:after="0" w:line="241" w:lineRule="auto"/>
        <w:rPr>
          <w:sz w:val="20"/>
          <w:szCs w:val="20"/>
          <w:color w:val="auto"/>
        </w:rPr>
      </w:pPr>
      <w:r>
        <w:rPr>
          <w:rFonts w:ascii="Times New Roman" w:cs="Times New Roman" w:eastAsia="Times New Roman" w:hAnsi="Times New Roman"/>
          <w:sz w:val="22"/>
          <w:szCs w:val="22"/>
          <w:color w:val="auto"/>
        </w:rPr>
        <w:t>цитолиза воспаленных клеток в результате лечения, а увеличение активности ГТ в эритроцитах и ГГТ в плазме (при ХНХ — и ГПО) — об активации ферментов лекарствами.</w:t>
      </w:r>
    </w:p>
    <w:p>
      <w:pPr>
        <w:spacing w:after="0" w:line="1" w:lineRule="exact"/>
        <w:rPr>
          <w:sz w:val="20"/>
          <w:szCs w:val="20"/>
          <w:color w:val="auto"/>
        </w:rPr>
      </w:pPr>
    </w:p>
    <w:p>
      <w:pPr>
        <w:jc w:val="both"/>
        <w:ind w:left="260" w:firstLine="436"/>
        <w:spacing w:after="0" w:line="239" w:lineRule="auto"/>
        <w:tabs>
          <w:tab w:leader="none" w:pos="908" w:val="left"/>
        </w:tabs>
        <w:numPr>
          <w:ilvl w:val="2"/>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оперативно удаленных желчных пузырях больных ХКХ при гистологически установленной ремиссии концентрация GSH и активность ГТ в серозной оболочке были примерно в 2 раза ниже, чем в слизистой, а ГПО и ГР не отличались. Концентрация GSH в стенке желчного пузыря близка</w:t>
      </w:r>
    </w:p>
    <w:p>
      <w:pPr>
        <w:spacing w:after="0" w:line="2" w:lineRule="exact"/>
        <w:rPr>
          <w:rFonts w:ascii="Times New Roman" w:cs="Times New Roman" w:eastAsia="Times New Roman" w:hAnsi="Times New Roman"/>
          <w:sz w:val="22"/>
          <w:szCs w:val="22"/>
          <w:color w:val="auto"/>
        </w:rPr>
      </w:pPr>
    </w:p>
    <w:p>
      <w:pPr>
        <w:jc w:val="both"/>
        <w:ind w:left="260" w:hanging="1"/>
        <w:spacing w:after="0"/>
        <w:tabs>
          <w:tab w:leader="none" w:pos="452" w:val="left"/>
        </w:tabs>
        <w:numPr>
          <w:ilvl w:val="1"/>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таковой в эритроцитах, но активность трех ферментов метаболизма глутатиона ГТ, ГПО и ГР была на 0,5-2 порядка выше, чем в эритроцитах. При гистологически подтвержденном обострении воспаления концентрация GSH выражено снижалась в слизистой, резко уменьшались активности ГТ в серозной оболочке и ГПО в обеих оболочках (рис.9). Сильный склероз вызывал снижение активности ГТ в серозной оболочке и ГПО в обеих оболочках. При желудочной (но не кишечной) метаплазии слизистой в ней увеличивалась концентрация GSH, в обеих оболочках снижалась активность ГТ и ГПО. Выраженное влияние воспаления, усиления склероза и желудочной метаплазии клеток свидетельствует об участии системы глутатиона в патогенезе ХКХ и, очевидно, других заболеваний желчного пузыря. Эти результаты дополняют и расширяют данные Geetha А. (2002), прежде всего наличием гистологического контроля по сдвигам компонентов системы глутатиона в стенке желчных пузырей под влиянием воспаления, склероза и метаплазии.</w:t>
      </w:r>
    </w:p>
    <w:p>
      <w:pPr>
        <w:ind w:left="26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Рис. 8. Влияние лечения на систему глутатиона крови при хроническом некалькулезном холецистите и состоянии после холецистэктомии</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ХНХ</w:t>
      </w:r>
    </w:p>
    <w:p>
      <w:pPr>
        <w:spacing w:after="0" w:line="1" w:lineRule="exact"/>
        <w:rPr>
          <w:rFonts w:ascii="Times New Roman" w:cs="Times New Roman" w:eastAsia="Times New Roman" w:hAnsi="Times New Roman"/>
          <w:sz w:val="22"/>
          <w:szCs w:val="22"/>
          <w:color w:val="auto"/>
        </w:rPr>
      </w:pPr>
    </w:p>
    <w:p>
      <w:pPr>
        <w:ind w:left="2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3 X</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ПХЭ</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3 х</w:t>
      </w:r>
    </w:p>
    <w:p>
      <w:pPr>
        <w:spacing w:after="0" w:line="1" w:lineRule="exact"/>
        <w:rPr>
          <w:rFonts w:ascii="Times New Roman" w:cs="Times New Roman" w:eastAsia="Times New Roman" w:hAnsi="Times New Roman"/>
          <w:sz w:val="22"/>
          <w:szCs w:val="22"/>
          <w:color w:val="auto"/>
        </w:rPr>
      </w:pPr>
    </w:p>
    <w:p>
      <w:pPr>
        <w:ind w:left="260" w:right="2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Обозначения те же, что на рисунке 1 и х - значимые изменения ноказателя после лечения (р &lt; 0,05); рисунок слева - до, справа - после лечения.</w:t>
      </w:r>
    </w:p>
    <w:p>
      <w:pPr>
        <w:jc w:val="both"/>
        <w:ind w:left="260"/>
        <w:spacing w:after="0" w:line="239"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Таким образом, при различных заболеваниях печени и ЖП развиваются закономерные сдвиги, показывающие значение системы глутатиона в патогенезе этих болезней и углубляющих понимание происходящих процессов. Однотипность некоторых изменений при разных печеночных заболеваниях показывает наличие в их патогенезе общих механизмов, скорее всего связанных с защитными реакциями на окислительный стресс, воспалительные процессы и цитолиз.</w:t>
      </w:r>
    </w:p>
    <w:p>
      <w:pPr>
        <w:spacing w:after="0" w:line="4" w:lineRule="exact"/>
        <w:rPr>
          <w:rFonts w:ascii="Times New Roman" w:cs="Times New Roman" w:eastAsia="Times New Roman" w:hAnsi="Times New Roman"/>
          <w:sz w:val="22"/>
          <w:szCs w:val="22"/>
          <w:color w:val="auto"/>
        </w:rPr>
      </w:pPr>
    </w:p>
    <w:p>
      <w:pPr>
        <w:ind w:left="260" w:right="400"/>
        <w:spacing w:after="0" w:line="241"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Рис. 9. Сдвиги в системе глутатиона в оболочках желчного пузыря при обострении воспаления Слизистая оболочка</w:t>
      </w:r>
    </w:p>
    <w:p>
      <w:pPr>
        <w:ind w:left="2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GSH</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ГПО</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Серозная оболочка</w:t>
      </w:r>
    </w:p>
    <w:p>
      <w:pPr>
        <w:spacing w:after="0" w:line="1" w:lineRule="exact"/>
        <w:rPr>
          <w:rFonts w:ascii="Times New Roman" w:cs="Times New Roman" w:eastAsia="Times New Roman" w:hAnsi="Times New Roman"/>
          <w:sz w:val="22"/>
          <w:szCs w:val="22"/>
          <w:color w:val="auto"/>
        </w:rPr>
      </w:pP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GSH</w:t>
      </w:r>
    </w:p>
    <w:p>
      <w:pPr>
        <w:spacing w:after="0" w:line="1" w:lineRule="exact"/>
        <w:rPr>
          <w:rFonts w:ascii="Times New Roman" w:cs="Times New Roman" w:eastAsia="Times New Roman" w:hAnsi="Times New Roman"/>
          <w:sz w:val="22"/>
          <w:szCs w:val="22"/>
          <w:color w:val="auto"/>
        </w:rPr>
      </w:pPr>
    </w:p>
    <w:p>
      <w:pPr>
        <w:ind w:left="260"/>
        <w:spacing w:after="0" w:line="236" w:lineRule="auto"/>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ГПО</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Обозначения приведены на рис. 4, но за 100% приняты значения всех показателей при ремиссии. Мы выявили различия в изменениях обмена глутатиона, которые представляют интерес для диагностики. В эритроцитах это снижение концентрации GSH и увеличение активности ГПО только при ВГ; снижение активности ГТ в эритроцитах только при заболеваниях ЖП; увеличение</w:t>
      </w:r>
    </w:p>
    <w:p>
      <w:pPr>
        <w:jc w:val="both"/>
        <w:ind w:left="260" w:hanging="1"/>
        <w:spacing w:after="0"/>
        <w:tabs>
          <w:tab w:leader="none" w:pos="481"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плазме крови концентрации GSH и активности ГР только при острых, но не хронических гепатитах; большая выраженность сдвигов в системе глутатиона при среднетяжелом течении ОВГ В по сравнению с тяжелым. Эти данные могут быть использованы как дополнение к комплексной диагностике заболеваний печени и ЖП и, возможно, при оценке тяжести ОВГ. Увеличение в плазме крови активности ГТ не специфично для определенного заболевания печени, но зато высоко чувствительно и связано с тяжестью заболевания. Ряд авторов рекомендовал использование а-ГТ в диагностике (см. раздел 2.7). Мы показали, что информативно определение и суммарной активности ГТ, которое технически намного проще, доступнее и дешевле. Обнаруженные нами изменения обмена глутатиона в эритроцитах и плазме расширяют представления о патогенезе изученных заболеваний и могут быть использованы в их комплексной диагностике.</w:t>
      </w:r>
    </w:p>
    <w:p>
      <w:pPr>
        <w:jc w:val="both"/>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Результаты комплексного исследования системы глутатиона при девяти изученных заболеваниях гепатобилиарной системы представлены в таблице 17. Ее сравнение с таблицей 1 в обзоре литературы показывает полноту и комплексность проведенных нами исследований. Она содержит важный материал для исследователей в этой области.</w:t>
      </w:r>
    </w:p>
    <w:p>
      <w:pPr>
        <w:ind w:left="260"/>
        <w:spacing w:after="0"/>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Список литературы:</w:t>
      </w:r>
    </w:p>
    <w:p>
      <w:pPr>
        <w:sectPr>
          <w:pgSz w:w="11900" w:h="16838" w:orient="portrait"/>
          <w:cols w:equalWidth="0" w:num="1">
            <w:col w:w="9620"/>
          </w:cols>
          <w:pgMar w:left="1440" w:top="1099" w:right="844" w:bottom="754" w:gutter="0" w:footer="0" w:header="0"/>
        </w:sectPr>
      </w:pPr>
    </w:p>
    <w:bookmarkStart w:id="8" w:name="page9"/>
    <w:bookmarkEnd w:id="8"/>
    <w:p>
      <w:pPr>
        <w:ind w:left="260" w:hanging="1"/>
        <w:spacing w:after="0" w:line="241" w:lineRule="auto"/>
        <w:tabs>
          <w:tab w:leader="none" w:pos="50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Абакумов Г.З. Роль липидной пероксидации в патогенезе вирусных гепатитов / Абакумов Г.З., Новицкий Г.К., Легонькова Л.Ф. // Вопр.мед.химии. 1988. - Т.34. - № 6. - С. 30-32.</w:t>
      </w:r>
    </w:p>
    <w:p>
      <w:pPr>
        <w:jc w:val="both"/>
        <w:ind w:left="260" w:hanging="1"/>
        <w:spacing w:after="0" w:line="239" w:lineRule="auto"/>
        <w:tabs>
          <w:tab w:leader="none" w:pos="50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Андрейчин М.А. Диагностическое значение определения активности ГГТП и ЩФ в сыворотке крови и желчи при вирусном гепатите В и воспалении желчных путей / Андрейчин М.А., Погорила М.А., Васильева</w:t>
      </w:r>
    </w:p>
    <w:p>
      <w:pPr>
        <w:spacing w:after="0" w:line="2" w:lineRule="exact"/>
        <w:rPr>
          <w:rFonts w:ascii="Times New Roman" w:cs="Times New Roman" w:eastAsia="Times New Roman" w:hAnsi="Times New Roman"/>
          <w:sz w:val="22"/>
          <w:szCs w:val="22"/>
          <w:color w:val="auto"/>
        </w:rPr>
      </w:pPr>
    </w:p>
    <w:p>
      <w:pPr>
        <w:ind w:left="480" w:hanging="221"/>
        <w:spacing w:after="0" w:line="236" w:lineRule="auto"/>
        <w:tabs>
          <w:tab w:leader="none" w:pos="480" w:val="left"/>
        </w:tabs>
        <w:numPr>
          <w:ilvl w:val="0"/>
          <w:numId w:val="13"/>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H.А., Шенкман Б.З. // Вопр. мед. химии. 1991. - № 1. С.33-35.</w:t>
      </w:r>
    </w:p>
    <w:p>
      <w:pPr>
        <w:spacing w:after="0" w:line="1" w:lineRule="exact"/>
        <w:rPr>
          <w:sz w:val="20"/>
          <w:szCs w:val="20"/>
          <w:color w:val="auto"/>
        </w:rPr>
      </w:pPr>
    </w:p>
    <w:p>
      <w:pPr>
        <w:ind w:left="260"/>
        <w:spacing w:after="0" w:line="241" w:lineRule="auto"/>
        <w:rPr>
          <w:sz w:val="20"/>
          <w:szCs w:val="20"/>
          <w:color w:val="auto"/>
        </w:rPr>
      </w:pPr>
      <w:r>
        <w:rPr>
          <w:rFonts w:ascii="Times New Roman" w:cs="Times New Roman" w:eastAsia="Times New Roman" w:hAnsi="Times New Roman"/>
          <w:sz w:val="22"/>
          <w:szCs w:val="22"/>
          <w:color w:val="auto"/>
        </w:rPr>
        <w:t>4. Аксенова Э.М., Вахрушев Л.М. О патогенезе нарушений функций печени после холецистэктомии при ЖКБ // Тер.архив 1998. - № 2. - С.48-52.</w:t>
      </w:r>
    </w:p>
    <w:p>
      <w:pPr>
        <w:spacing w:after="0" w:line="1" w:lineRule="exact"/>
        <w:rPr>
          <w:sz w:val="20"/>
          <w:szCs w:val="20"/>
          <w:color w:val="auto"/>
        </w:rPr>
      </w:pPr>
    </w:p>
    <w:p>
      <w:pPr>
        <w:ind w:left="260" w:hanging="1"/>
        <w:spacing w:after="0" w:line="239" w:lineRule="auto"/>
        <w:tabs>
          <w:tab w:leader="none" w:pos="500"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Березов Т.Т., Чернов Н.Н. Регуляция активности и синтеза гамма-глутамилтрансферазы тканей животных // Вестник АМН СССР 1986. — № 8. - С.68-76.</w:t>
      </w:r>
    </w:p>
    <w:p>
      <w:pPr>
        <w:ind w:left="260" w:right="20" w:hanging="1"/>
        <w:spacing w:after="0" w:line="241" w:lineRule="auto"/>
        <w:tabs>
          <w:tab w:leader="none" w:pos="490"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Болдырев А.А. Роль активных форм кислорода в жизнедеятельности нейрона // Успехи физиол. Наук. 2003. - №3. - С.21-34.</w:t>
      </w:r>
    </w:p>
    <w:p>
      <w:pPr>
        <w:ind w:left="260" w:hanging="1"/>
        <w:spacing w:after="0" w:line="239" w:lineRule="auto"/>
        <w:tabs>
          <w:tab w:leader="none" w:pos="538"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Блюгер А.Ф., Крупникова Э.З. Функциональная характеристика эритроцитов при острых и хронических поражениях печени // Успехи гепато-логии. Рига. - 1984. - С.53-66.</w:t>
      </w:r>
    </w:p>
    <w:p>
      <w:pPr>
        <w:ind w:left="260" w:hanging="1"/>
        <w:spacing w:after="0" w:line="241" w:lineRule="auto"/>
        <w:tabs>
          <w:tab w:leader="none" w:pos="615"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Владимиров Ю.А. Активные формы кислорода и азота: значение для диагностики, профилактики и терапии // Биохимия. 2004. - Т.69. - вып.1.-С.5-7.</w:t>
      </w:r>
    </w:p>
    <w:p>
      <w:pPr>
        <w:ind w:left="480" w:hanging="221"/>
        <w:spacing w:after="0" w:line="236" w:lineRule="auto"/>
        <w:tabs>
          <w:tab w:leader="none" w:pos="480" w:val="left"/>
        </w:tabs>
        <w:numPr>
          <w:ilvl w:val="1"/>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Воевидка О.С. Особенности липопероксидных процессов у больных хроническим холециститом</w:t>
      </w:r>
    </w:p>
    <w:p>
      <w:pPr>
        <w:ind w:left="440" w:hanging="181"/>
        <w:spacing w:after="0"/>
        <w:tabs>
          <w:tab w:leader="none" w:pos="440" w:val="left"/>
        </w:tabs>
        <w:numPr>
          <w:ilvl w:val="0"/>
          <w:numId w:val="14"/>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Российский ж. гастроэнтерологии, гепато-логии, колопроктологии. 1997. - № 5. - С. 170.</w:t>
      </w:r>
    </w:p>
    <w:p>
      <w:pPr>
        <w:spacing w:after="0" w:line="1" w:lineRule="exact"/>
        <w:rPr>
          <w:rFonts w:ascii="Times New Roman" w:cs="Times New Roman" w:eastAsia="Times New Roman" w:hAnsi="Times New Roman"/>
          <w:sz w:val="22"/>
          <w:szCs w:val="22"/>
          <w:color w:val="auto"/>
        </w:rPr>
      </w:pPr>
    </w:p>
    <w:p>
      <w:pPr>
        <w:jc w:val="both"/>
        <w:ind w:left="260" w:hanging="1"/>
        <w:spacing w:after="0" w:line="239" w:lineRule="auto"/>
        <w:tabs>
          <w:tab w:leader="none" w:pos="620" w:val="left"/>
        </w:tabs>
        <w:numPr>
          <w:ilvl w:val="1"/>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Върбанов Г. Изменение активности гамма-глутатионтрансферазы при заболеваниях печени и желчевыводящих путей / Върбанов Г., Михова В., Ганчева Д., Атанасова А. // Тер.архив 1993. - №</w:t>
      </w:r>
    </w:p>
    <w:p>
      <w:pPr>
        <w:ind w:left="480" w:hanging="221"/>
        <w:spacing w:after="0"/>
        <w:tabs>
          <w:tab w:leader="none" w:pos="480" w:val="left"/>
        </w:tabs>
        <w:numPr>
          <w:ilvl w:val="1"/>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С.82-85.</w:t>
      </w:r>
    </w:p>
    <w:p>
      <w:pPr>
        <w:spacing w:after="0" w:line="1" w:lineRule="exact"/>
        <w:rPr>
          <w:rFonts w:ascii="Times New Roman" w:cs="Times New Roman" w:eastAsia="Times New Roman" w:hAnsi="Times New Roman"/>
          <w:sz w:val="22"/>
          <w:szCs w:val="22"/>
          <w:color w:val="auto"/>
        </w:rPr>
      </w:pPr>
    </w:p>
    <w:p>
      <w:pPr>
        <w:ind w:left="260" w:hanging="1"/>
        <w:spacing w:after="0" w:line="239" w:lineRule="auto"/>
        <w:tabs>
          <w:tab w:leader="none" w:pos="644"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Галкин В.А. Современные представления о патогенезе холелитиаза как основа принципов профилактики билиарной патологии // Тер. архив -2003. -№ 1.-С.6-9.</w:t>
      </w:r>
    </w:p>
    <w:p>
      <w:pPr>
        <w:ind w:left="260" w:hanging="1"/>
        <w:spacing w:after="0" w:line="241" w:lineRule="auto"/>
        <w:tabs>
          <w:tab w:leader="none" w:pos="644"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Гланц С. Медико-биологическая статистика / Пер.с англ. Ю.А. Дамило-ва,. Под ред. Н.Е. Бузикашвили, Д.В. Самойлова. М.: Практика. 1999. -459 с.</w:t>
      </w:r>
    </w:p>
    <w:p>
      <w:pPr>
        <w:jc w:val="both"/>
        <w:ind w:left="260" w:hanging="1"/>
        <w:spacing w:after="0"/>
        <w:tabs>
          <w:tab w:leader="none" w:pos="673"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Давыдов В.В., Божков А.И. Метаболизм эндогенных альдегидов: участие в реализации повреждающего действия оксидативного стресса и его возрастные аспекты // Биомед.химия. 2003. - Т 49. - № 4. - С.374-387.</w:t>
      </w:r>
    </w:p>
    <w:p>
      <w:pPr>
        <w:ind w:left="260" w:hanging="1"/>
        <w:spacing w:after="0" w:line="239" w:lineRule="auto"/>
        <w:tabs>
          <w:tab w:leader="none" w:pos="610"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Дубинина Е.Е. Роль активных форм кислорода в качестве сигнальных молекул в метаболизме тканей при состояниях окислительного стресса // Вопр. мед. химии.-2001.- Т.47. -№ 6. С.561-581.</w:t>
      </w:r>
    </w:p>
    <w:p>
      <w:pPr>
        <w:ind w:left="600" w:hanging="341"/>
        <w:spacing w:after="0"/>
        <w:tabs>
          <w:tab w:leader="none" w:pos="600"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Закс JI. Статистика оценивания / М.: Статистика. — 1976. 600 с.</w:t>
      </w:r>
    </w:p>
    <w:p>
      <w:pPr>
        <w:spacing w:after="0" w:line="1" w:lineRule="exact"/>
        <w:rPr>
          <w:rFonts w:ascii="Times New Roman" w:cs="Times New Roman" w:eastAsia="Times New Roman" w:hAnsi="Times New Roman"/>
          <w:sz w:val="22"/>
          <w:szCs w:val="22"/>
          <w:color w:val="auto"/>
        </w:rPr>
      </w:pPr>
    </w:p>
    <w:p>
      <w:pPr>
        <w:ind w:left="260" w:hanging="1"/>
        <w:spacing w:after="0" w:line="239" w:lineRule="auto"/>
        <w:tabs>
          <w:tab w:leader="none" w:pos="596"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Зилва Дж. Ф., Пэннелл П.Р. Клиническая химия в диагностике и лечении / М.: Медицина. 1988. - 528 с.</w:t>
      </w:r>
    </w:p>
    <w:p>
      <w:pPr>
        <w:jc w:val="both"/>
        <w:ind w:left="260" w:hanging="1"/>
        <w:spacing w:after="0" w:line="241" w:lineRule="auto"/>
        <w:tabs>
          <w:tab w:leader="none" w:pos="634"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Иванов В.Г. Роль тиоловых соединений в патогенезе клещевого энцефалита / Иванов В.Г., Иванов Г.Г., Барсуков А.Н., Гаврилов А.А. // Тезисы науч.конф. «Современные технологии динамики и терапии инфекционных болезней» С-Пб. - 1999. - С. 154-155.</w:t>
      </w:r>
    </w:p>
    <w:p>
      <w:pPr>
        <w:jc w:val="both"/>
        <w:ind w:left="260" w:hanging="1"/>
        <w:spacing w:after="0" w:line="239" w:lineRule="auto"/>
        <w:tabs>
          <w:tab w:leader="none" w:pos="654"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Иванов Д.И. Баланс системы « Пол-АРЗ, АОЗ» у больных хроническим некалькулезным холециститом / Иванов Д.И., Костенко М.Б., Ливзан М.А., Калинина Е.В. // Российский ж. гастроэнтнерологии, гепатологии, колопроктологии. 1996. - № 4. - С.220.</w:t>
      </w:r>
    </w:p>
    <w:p>
      <w:pPr>
        <w:spacing w:after="0" w:line="2" w:lineRule="exact"/>
        <w:rPr>
          <w:rFonts w:ascii="Times New Roman" w:cs="Times New Roman" w:eastAsia="Times New Roman" w:hAnsi="Times New Roman"/>
          <w:sz w:val="22"/>
          <w:szCs w:val="22"/>
          <w:color w:val="auto"/>
        </w:rPr>
      </w:pPr>
    </w:p>
    <w:p>
      <w:pPr>
        <w:ind w:left="260" w:right="20" w:hanging="1"/>
        <w:spacing w:after="0" w:line="239" w:lineRule="auto"/>
        <w:tabs>
          <w:tab w:leader="none" w:pos="735"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Ивашкина Н.Ю., Шульпекова Ю.О. Все ли мы знаем о лечебных возможностях антиоксидантов // Рус.мед.ж. 2000. - Т. 8. - № 4. - С. 182184.</w:t>
      </w:r>
    </w:p>
    <w:p>
      <w:pPr>
        <w:ind w:left="600" w:hanging="341"/>
        <w:spacing w:after="0"/>
        <w:tabs>
          <w:tab w:leader="none" w:pos="600" w:val="left"/>
        </w:tabs>
        <w:numPr>
          <w:ilvl w:val="1"/>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Клиническая биохимия: Под ред. ТкачукаВ.А.-М.: 2004.-С. 361-371.</w:t>
      </w:r>
    </w:p>
    <w:sectPr>
      <w:pgSz w:w="11900" w:h="16838" w:orient="portrait"/>
      <w:cols w:equalWidth="0" w:num="1">
        <w:col w:w="9620"/>
      </w:cols>
      <w:pgMar w:left="1440" w:top="1099" w:right="844"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5BD062C2"/>
    <w:multiLevelType w:val="hybridMultilevel"/>
    <w:lvl w:ilvl="0">
      <w:lvlJc w:val="left"/>
      <w:lvlText w:val="1"/>
      <w:numFmt w:val="bullet"/>
      <w:start w:val="1"/>
    </w:lvl>
  </w:abstractNum>
  <w:abstractNum w:abstractNumId="1">
    <w:nsid w:val="12200854"/>
    <w:multiLevelType w:val="hybridMultilevel"/>
    <w:lvl w:ilvl="0">
      <w:lvlJc w:val="left"/>
      <w:lvlText w:val="%1."/>
      <w:numFmt w:val="decimal"/>
      <w:start w:val="2"/>
    </w:lvl>
  </w:abstractNum>
  <w:abstractNum w:abstractNumId="2">
    <w:nsid w:val="4DB127F8"/>
    <w:multiLevelType w:val="hybridMultilevel"/>
    <w:lvl w:ilvl="0">
      <w:lvlJc w:val="left"/>
      <w:lvlText w:val="В"/>
      <w:numFmt w:val="bullet"/>
      <w:start w:val="1"/>
    </w:lvl>
  </w:abstractNum>
  <w:abstractNum w:abstractNumId="3">
    <w:nsid w:val="216231B"/>
    <w:multiLevelType w:val="hybridMultilevel"/>
    <w:lvl w:ilvl="0">
      <w:lvlJc w:val="left"/>
      <w:lvlText w:val="и"/>
      <w:numFmt w:val="bullet"/>
      <w:start w:val="1"/>
    </w:lvl>
    <w:lvl w:ilvl="1">
      <w:lvlJc w:val="left"/>
      <w:lvlText w:val="%2."/>
      <w:numFmt w:val="decimal"/>
      <w:start w:val="1"/>
    </w:lvl>
    <w:lvl w:ilvl="2">
      <w:lvlJc w:val="left"/>
      <w:lvlText w:val="В"/>
      <w:numFmt w:val="bullet"/>
      <w:start w:val="1"/>
    </w:lvl>
  </w:abstractNum>
  <w:abstractNum w:abstractNumId="4">
    <w:nsid w:val="1F16E9E8"/>
    <w:multiLevelType w:val="hybridMultilevel"/>
    <w:lvl w:ilvl="0">
      <w:lvlJc w:val="left"/>
      <w:lvlText w:val="и"/>
      <w:numFmt w:val="bullet"/>
      <w:start w:val="1"/>
    </w:lvl>
    <w:lvl w:ilvl="1">
      <w:lvlJc w:val="left"/>
      <w:lvlText w:val="%2."/>
      <w:numFmt w:val="decimal"/>
      <w:start w:val="6"/>
    </w:lvl>
  </w:abstractNum>
  <w:abstractNum w:abstractNumId="5">
    <w:nsid w:val="1190CDE7"/>
    <w:multiLevelType w:val="hybridMultilevel"/>
    <w:lvl w:ilvl="0">
      <w:lvlJc w:val="left"/>
      <w:lvlText w:val="%1."/>
      <w:numFmt w:val="decimal"/>
      <w:start w:val="1"/>
    </w:lvl>
  </w:abstractNum>
  <w:abstractNum w:abstractNumId="6">
    <w:nsid w:val="66EF438D"/>
    <w:multiLevelType w:val="hybridMultilevel"/>
    <w:lvl w:ilvl="0">
      <w:lvlJc w:val="left"/>
      <w:lvlText w:val="%1."/>
      <w:numFmt w:val="decimal"/>
      <w:start w:val="7"/>
    </w:lvl>
    <w:lvl w:ilvl="1">
      <w:lvlJc w:val="left"/>
      <w:lvlText w:val="В"/>
      <w:numFmt w:val="bullet"/>
      <w:start w:val="1"/>
    </w:lvl>
  </w:abstractNum>
  <w:abstractNum w:abstractNumId="7">
    <w:nsid w:val="140E0F76"/>
    <w:multiLevelType w:val="hybridMultilevel"/>
    <w:lvl w:ilvl="0">
      <w:lvlJc w:val="left"/>
      <w:lvlText w:val="%1."/>
      <w:numFmt w:val="decimal"/>
      <w:start w:val="5"/>
    </w:lvl>
    <w:lvl w:ilvl="1">
      <w:lvlJc w:val="left"/>
      <w:lvlText w:val="В"/>
      <w:numFmt w:val="bullet"/>
      <w:start w:val="1"/>
    </w:lvl>
  </w:abstractNum>
  <w:abstractNum w:abstractNumId="8">
    <w:nsid w:val="3352255A"/>
    <w:multiLevelType w:val="hybridMultilevel"/>
    <w:lvl w:ilvl="0">
      <w:lvlJc w:val="left"/>
      <w:lvlText w:val="С"/>
      <w:numFmt w:val="bullet"/>
      <w:start w:val="1"/>
    </w:lvl>
    <w:lvl w:ilvl="1">
      <w:lvlJc w:val="left"/>
      <w:lvlText w:val="В"/>
      <w:numFmt w:val="bullet"/>
      <w:start w:val="1"/>
    </w:lvl>
  </w:abstractNum>
  <w:abstractNum w:abstractNumId="9">
    <w:nsid w:val="109CF92E"/>
    <w:multiLevelType w:val="hybridMultilevel"/>
    <w:lvl w:ilvl="0">
      <w:lvlJc w:val="left"/>
      <w:lvlText w:val="в"/>
      <w:numFmt w:val="bullet"/>
      <w:start w:val="1"/>
    </w:lvl>
    <w:lvl w:ilvl="1">
      <w:lvlJc w:val="left"/>
      <w:lvlText w:val="-"/>
      <w:numFmt w:val="bullet"/>
      <w:start w:val="1"/>
    </w:lvl>
  </w:abstractNum>
  <w:abstractNum w:abstractNumId="10">
    <w:nsid w:val="DED7263"/>
    <w:multiLevelType w:val="hybridMultilevel"/>
    <w:lvl w:ilvl="0">
      <w:lvlJc w:val="left"/>
      <w:lvlText w:val="в"/>
      <w:numFmt w:val="bullet"/>
      <w:start w:val="1"/>
    </w:lvl>
    <w:lvl w:ilvl="1">
      <w:lvlJc w:val="left"/>
      <w:lvlText w:val="-"/>
      <w:numFmt w:val="bullet"/>
      <w:start w:val="1"/>
    </w:lvl>
    <w:lvl w:ilvl="2">
      <w:lvlJc w:val="left"/>
      <w:lvlText w:val="В"/>
      <w:numFmt w:val="bullet"/>
      <w:start w:val="1"/>
    </w:lvl>
  </w:abstractNum>
  <w:abstractNum w:abstractNumId="11">
    <w:nsid w:val="7FDCC233"/>
    <w:multiLevelType w:val="hybridMultilevel"/>
    <w:lvl w:ilvl="0">
      <w:lvlJc w:val="left"/>
      <w:lvlText w:val="в"/>
      <w:numFmt w:val="bullet"/>
      <w:start w:val="1"/>
    </w:lvl>
    <w:lvl w:ilvl="1">
      <w:lvlJc w:val="left"/>
      <w:lvlText w:val="к"/>
      <w:numFmt w:val="bullet"/>
      <w:start w:val="1"/>
    </w:lvl>
    <w:lvl w:ilvl="2">
      <w:lvlJc w:val="left"/>
      <w:lvlText w:val="В"/>
      <w:numFmt w:val="bullet"/>
      <w:start w:val="1"/>
    </w:lvl>
  </w:abstractNum>
  <w:abstractNum w:abstractNumId="12">
    <w:nsid w:val="1BEFD79F"/>
    <w:multiLevelType w:val="hybridMultilevel"/>
    <w:lvl w:ilvl="0">
      <w:lvlJc w:val="left"/>
      <w:lvlText w:val="%1."/>
      <w:numFmt w:val="decimal"/>
      <w:start w:val="1"/>
    </w:lvl>
  </w:abstractNum>
  <w:abstractNum w:abstractNumId="13">
    <w:nsid w:val="41A7C4C9"/>
    <w:multiLevelType w:val="hybridMultilevel"/>
    <w:lvl w:ilvl="0">
      <w:lvlJc w:val="left"/>
      <w:lvlText w:val="//"/>
      <w:numFmt w:val="bullet"/>
      <w:start w:val="1"/>
    </w:lvl>
    <w:lvl w:ilvl="1">
      <w:lvlJc w:val="left"/>
      <w:lvlText w:val="%2."/>
      <w:numFmt w:val="decimal"/>
      <w:start w:val="5"/>
    </w:lvl>
  </w:abstractNum>
  <w:abstractNum w:abstractNumId="14">
    <w:nsid w:val="6B68079A"/>
    <w:multiLevelType w:val="hybridMultilevel"/>
    <w:lvl w:ilvl="0">
      <w:lvlJc w:val="left"/>
      <w:lvlText w:val="//"/>
      <w:numFmt w:val="bullet"/>
      <w:start w:val="1"/>
    </w:lvl>
    <w:lvl w:ilvl="1">
      <w:lvlJc w:val="left"/>
      <w:lvlText w:val="%2."/>
      <w:numFmt w:val="decimal"/>
      <w:start w:val="10"/>
    </w:lvl>
  </w:abstractNum>
  <w:abstractNum w:abstractNumId="15">
    <w:nsid w:val="4E6AFB66"/>
    <w:multiLevelType w:val="hybridMultilevel"/>
    <w:lvl w:ilvl="0">
      <w:lvlJc w:val="left"/>
      <w:lvlText w:val="//"/>
      <w:numFmt w:val="bullet"/>
      <w:start w:val="1"/>
    </w:lvl>
    <w:lvl w:ilvl="1">
      <w:lvlJc w:val="left"/>
      <w:lvlText w:val="%2."/>
      <w:numFmt w:val="decimal"/>
      <w:start w:val="2"/>
    </w:lvl>
  </w:abstractNum>
  <w:abstractNum w:abstractNumId="16">
    <w:nsid w:val="25E45D32"/>
    <w:multiLevelType w:val="hybridMultilevel"/>
    <w:lvl w:ilvl="0">
      <w:lvlJc w:val="left"/>
      <w:lvlText w:val="//"/>
      <w:numFmt w:val="bullet"/>
      <w:start w:val="1"/>
    </w:lvl>
    <w:lvl w:ilvl="1">
      <w:lvlJc w:val="left"/>
      <w:lvlText w:val="%2."/>
      <w:numFmt w:val="decimal"/>
      <w:start w:val="1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2018-08-26T06:20:29Z</dcterms:created>
  <dcterms:modified xsi:type="dcterms:W3CDTF">2018-08-26T06:20:29Z</dcterms:modified>
</cp:coreProperties>
</file>