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6" w:right="1600"/>
        <w:spacing w:after="0" w:line="245" w:lineRule="auto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31"/>
          <w:szCs w:val="31"/>
          <w:b w:val="1"/>
          <w:bCs w:val="1"/>
          <w:color w:val="auto"/>
        </w:rPr>
        <w:t>Состояние систем глутатиона и свободнорадикального окисления у больных</w:t>
      </w:r>
    </w:p>
    <w:p>
      <w:pPr>
        <w:spacing w:after="0" w:line="3" w:lineRule="exact"/>
        <w:rPr>
          <w:sz w:val="24"/>
          <w:szCs w:val="24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32"/>
          <w:szCs w:val="32"/>
          <w:b w:val="1"/>
          <w:bCs w:val="1"/>
          <w:color w:val="auto"/>
        </w:rPr>
        <w:t>псориазом и возможности их коррекции</w:t>
      </w:r>
      <w:r>
        <w:rPr>
          <w:rFonts w:ascii="Verdana" w:cs="Verdana" w:eastAsia="Verdana" w:hAnsi="Verdana"/>
          <w:sz w:val="39"/>
          <w:szCs w:val="39"/>
          <w:b w:val="1"/>
          <w:bCs w:val="1"/>
          <w:color w:val="auto"/>
        </w:rPr>
        <w:t>.</w:t>
      </w:r>
    </w:p>
    <w:p>
      <w:pPr>
        <w:spacing w:after="0" w:line="131" w:lineRule="exact"/>
        <w:rPr>
          <w:sz w:val="24"/>
          <w:szCs w:val="24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18"/>
          <w:szCs w:val="18"/>
          <w:color w:val="auto"/>
        </w:rPr>
        <w:t>Полякова, Алина Владимировна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2" w:lineRule="exact"/>
        <w:rPr>
          <w:sz w:val="24"/>
          <w:szCs w:val="24"/>
          <w:color w:val="auto"/>
        </w:rPr>
      </w:pPr>
    </w:p>
    <w:p>
      <w:pPr>
        <w:jc w:val="both"/>
        <w:ind w:left="6"/>
        <w:spacing w:after="0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Актуальность исследования</w:t>
      </w:r>
      <w:r>
        <w:rPr>
          <w:rFonts w:ascii="Verdana" w:cs="Verdana" w:eastAsia="Verdana" w:hAnsi="Verdana"/>
          <w:sz w:val="20"/>
          <w:szCs w:val="20"/>
          <w:color w:val="auto"/>
        </w:rPr>
        <w:t>.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Verdana" w:cs="Verdana" w:eastAsia="Verdana" w:hAnsi="Verdana"/>
          <w:sz w:val="20"/>
          <w:szCs w:val="20"/>
          <w:color w:val="auto"/>
        </w:rPr>
        <w:t>Согласно современным представлениям,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Verdana" w:cs="Verdana" w:eastAsia="Verdana" w:hAnsi="Verdana"/>
          <w:sz w:val="20"/>
          <w:szCs w:val="20"/>
          <w:color w:val="auto"/>
        </w:rPr>
        <w:t>псориаз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Verdana" w:cs="Verdana" w:eastAsia="Verdana" w:hAnsi="Verdana"/>
          <w:sz w:val="20"/>
          <w:szCs w:val="20"/>
          <w:color w:val="auto"/>
        </w:rPr>
        <w:t>–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Verdana" w:cs="Verdana" w:eastAsia="Verdana" w:hAnsi="Verdana"/>
          <w:sz w:val="20"/>
          <w:szCs w:val="20"/>
          <w:color w:val="auto"/>
        </w:rPr>
        <w:t>это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Verdana" w:cs="Verdana" w:eastAsia="Verdana" w:hAnsi="Verdana"/>
          <w:sz w:val="20"/>
          <w:szCs w:val="20"/>
          <w:color w:val="auto"/>
        </w:rPr>
        <w:t>хронический воспалительный иммунозависимый генодерматоз, основное патогенетическое звено которого проявляется усилением пролиферативной активности кератиноцитов, приводящей к нарушению процессов кератинизации (Солошенко Э.Н. и соавт., 2006; Самцов А.В., 2008; Vanizor B., 2003). Несмотря на значительные успехи в сфере иммунобиологической терапии как наиболее эффективного метода лечения этой болезни, прогресс в понимании этиологии, патогенеза и разработке эффективных методов лечения псориаза остаётся незначительным, рост заболеваемости продолжается. Нередко заболевание характеризуется тяжёлым течением и приводит к инвалидизации. В ряде немногочисленных работ, посвящённых изучению метаболизма при псориазе, отмечены нарушения в обмене белков, включая факторы роста и цитокины, углеводов, липидов (Олисова М.О. и соавт., 1986; Повалий Т.М. и соавт., 1997; Беловол А.Н ., 2010), нуклеиновых кислот, циклазной и эндокринной системах (Аветикян С.С., 2010; G. Schmid-Ott [et al], 1998), ферментативной активности (Алеид Р. И соавт., 2010) и других показателях (Архипенкова А.А. и соавт., 2003, 2004). Отдельные работы посвящены перекисному окислению липидов (ПОЛ ) и системе антиоксидантной защиты (АОЗ), как одной из ведущих цитопротекторных систем (Дащук А.М.</w:t>
      </w:r>
    </w:p>
    <w:p>
      <w:pPr>
        <w:spacing w:after="0" w:line="8" w:lineRule="exact"/>
        <w:rPr>
          <w:sz w:val="24"/>
          <w:szCs w:val="24"/>
          <w:color w:val="auto"/>
        </w:rPr>
      </w:pPr>
    </w:p>
    <w:p>
      <w:pPr>
        <w:jc w:val="both"/>
        <w:ind w:left="6" w:hanging="6"/>
        <w:spacing w:after="0" w:line="242" w:lineRule="auto"/>
        <w:tabs>
          <w:tab w:leader="none" w:pos="251" w:val="left"/>
        </w:tabs>
        <w:numPr>
          <w:ilvl w:val="0"/>
          <w:numId w:val="1"/>
        </w:numPr>
        <w:rPr>
          <w:rFonts w:ascii="Verdana" w:cs="Verdana" w:eastAsia="Verdana" w:hAnsi="Verdana"/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соавт., 1987; Baz K. [et al], 2003). Установлено, что первичные нарушения возникают в эпидермисе и далее вызывают реакции иммунной системы как инициатора и трансмиттера первично-запрограммированных изменений в кератиноцитах, что приводит к нарушению пролиферативно-дифференцировочной активности и развитию воспаления (Суханова Н.М., 2003; Krueger G., 2002). Как во всяком воспалительном процессе, одним из патогенетических звеньев является интоксикация, влияющая на характер течения, эффективность терапии и исход заболевания (B. Bianchi [et al], 2003; Gottlieb A.B. [et al], 2004). Отмечено, что детоксикационная и гепатопротекторная терапия являются методами, значительно улучшающими эффективность лечения этих больных (Владимиров В.В., 2001, 2003; Корсунская И.М. и соавт., 2004), однако, контроль над проводимым лечением, частотой использования методов детоксикации требует разработки более точных критериев оценки и, в первую очередь, клинико-лабораторных, как наиболее объективных и информативных.</w:t>
      </w:r>
    </w:p>
    <w:p>
      <w:pPr>
        <w:spacing w:after="0" w:line="256" w:lineRule="exact"/>
        <w:rPr>
          <w:sz w:val="24"/>
          <w:szCs w:val="24"/>
          <w:color w:val="auto"/>
        </w:rPr>
      </w:pPr>
    </w:p>
    <w:p>
      <w:pPr>
        <w:jc w:val="both"/>
        <w:ind w:left="6"/>
        <w:spacing w:after="0" w:line="242" w:lineRule="auto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 xml:space="preserve">Накопленные данные по функционированию систем свободнорадикального окисления (СРО) и АОЗ позволяют утверждать, что определение их параметров во многом позволяет проводить оценку тяжести состояния, осуществлять контроль над лечением, что наиболее актуально в группах больных с распространёнными формами и тяжёлым течением заболевания. На наш взгляд, наиболее новым и информативным является изучение изменений параметров системы тиолдисульфидов и, в частности, глутатиона в эритроцитах крови больных в различные периоды болезни. Это подтверждается также успешным применением 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глутатиона</w:t>
      </w:r>
      <w:r>
        <w:rPr>
          <w:rFonts w:ascii="Verdana" w:cs="Verdana" w:eastAsia="Verdana" w:hAnsi="Verdana"/>
          <w:sz w:val="20"/>
          <w:szCs w:val="20"/>
          <w:color w:val="auto"/>
        </w:rPr>
        <w:t xml:space="preserve"> S-адеметионина, эссенциале и других гепатопротекторов, влияющих на метаболизм тиолов и дисульфидов в печени и других тканях, а, следовательно, на обмен веществ в целом (Притуло О.А. и соавт., 2007; Матусевич С.Л. и соавт., 2010).</w:t>
      </w:r>
    </w:p>
    <w:p>
      <w:pPr>
        <w:spacing w:after="0" w:line="252" w:lineRule="exact"/>
        <w:rPr>
          <w:sz w:val="24"/>
          <w:szCs w:val="24"/>
          <w:color w:val="auto"/>
        </w:rPr>
      </w:pPr>
    </w:p>
    <w:p>
      <w:pPr>
        <w:jc w:val="both"/>
        <w:ind w:left="6"/>
        <w:spacing w:after="0" w:line="243" w:lineRule="auto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Система глутатиона, </w:t>
      </w:r>
      <w:r>
        <w:rPr>
          <w:rFonts w:ascii="Verdana" w:cs="Verdana" w:eastAsia="Verdana" w:hAnsi="Verdana"/>
          <w:sz w:val="20"/>
          <w:szCs w:val="20"/>
          <w:color w:val="auto"/>
        </w:rPr>
        <w:t>участвуя в процессах конъюгации и антирадикальной защиты,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Verdana" w:cs="Verdana" w:eastAsia="Verdana" w:hAnsi="Verdana"/>
          <w:sz w:val="20"/>
          <w:szCs w:val="20"/>
          <w:color w:val="auto"/>
        </w:rPr>
        <w:t>может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Verdana" w:cs="Verdana" w:eastAsia="Verdana" w:hAnsi="Verdana"/>
          <w:sz w:val="20"/>
          <w:szCs w:val="20"/>
          <w:color w:val="auto"/>
        </w:rPr>
        <w:t xml:space="preserve">играть важную роль в регуляции процессов цитопротекции, пролиферации и дифференцировки клеток. Прежде всего, путём регуляции соотношения окисленных и восстановленных сульфгидрильных групп различных белков – рецепторов и ферментов, путём создания различных комплексных соединений с веществами самой различной природы, например, с лекарственными препаратами и эндогенными токсикантами, образующимися в ходе нарушенного метаболизма клеток (Глушков С.И., 2006; Шилов Ю.В. и соавт., 2008). Образующиеся комплексные соединения могут оказывать существенное влияние на окислительно-восстановительный потенциал клеток, изменяя их метаболический и регуляторный фон (Filomeni G. [et al], 2002). Таким образом, 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система глутатиона</w:t>
      </w:r>
      <w:r>
        <w:rPr>
          <w:rFonts w:ascii="Verdana" w:cs="Verdana" w:eastAsia="Verdana" w:hAnsi="Verdana"/>
          <w:sz w:val="20"/>
          <w:szCs w:val="20"/>
          <w:color w:val="auto"/>
        </w:rPr>
        <w:t xml:space="preserve"> занимает одно из важных мест в механизмах регуляции метаболизма, включая процессы детоксикации,</w:t>
      </w:r>
    </w:p>
    <w:p>
      <w:pPr>
        <w:sectPr>
          <w:pgSz w:w="11900" w:h="16838" w:orient="portrait"/>
          <w:cols w:equalWidth="0" w:num="1">
            <w:col w:w="10066"/>
          </w:cols>
          <w:pgMar w:left="994" w:top="1109" w:right="844" w:bottom="602" w:gutter="0" w:footer="0" w:header="0"/>
        </w:sectPr>
      </w:pPr>
    </w:p>
    <w:bookmarkStart w:id="1" w:name="page2"/>
    <w:bookmarkEnd w:id="1"/>
    <w:p>
      <w:pPr>
        <w:jc w:val="both"/>
        <w:ind w:left="6"/>
        <w:spacing w:after="0" w:line="269" w:lineRule="auto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пролиферации и дифференцировки клеток при псориазе, что обуславливает необходимость её детального изучения.</w:t>
      </w:r>
    </w:p>
    <w:p>
      <w:pPr>
        <w:spacing w:after="0" w:line="219" w:lineRule="exact"/>
        <w:rPr>
          <w:sz w:val="20"/>
          <w:szCs w:val="20"/>
          <w:color w:val="auto"/>
        </w:rPr>
      </w:pPr>
    </w:p>
    <w:p>
      <w:pPr>
        <w:jc w:val="both"/>
        <w:ind w:left="6"/>
        <w:spacing w:after="0" w:line="242" w:lineRule="auto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Степень разработанности темы исследования</w:t>
      </w:r>
      <w:r>
        <w:rPr>
          <w:rFonts w:ascii="Verdana" w:cs="Verdana" w:eastAsia="Verdana" w:hAnsi="Verdana"/>
          <w:sz w:val="20"/>
          <w:szCs w:val="20"/>
          <w:color w:val="auto"/>
        </w:rPr>
        <w:t>.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Verdana" w:cs="Verdana" w:eastAsia="Verdana" w:hAnsi="Verdana"/>
          <w:sz w:val="20"/>
          <w:szCs w:val="20"/>
          <w:color w:val="auto"/>
        </w:rPr>
        <w:t>В современной отечественной и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Verdana" w:cs="Verdana" w:eastAsia="Verdana" w:hAnsi="Verdana"/>
          <w:sz w:val="20"/>
          <w:szCs w:val="20"/>
          <w:color w:val="auto"/>
        </w:rPr>
        <w:t xml:space="preserve">зарубежной литературе при различных нозологических формах, включая и псориаз, система глутатиона описана достаточно полно. Однако, при анализе литературных источников нами не было отмечено данных, отражающих состояние 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систем глутатиона</w:t>
      </w:r>
      <w:r>
        <w:rPr>
          <w:rFonts w:ascii="Verdana" w:cs="Verdana" w:eastAsia="Verdana" w:hAnsi="Verdana"/>
          <w:sz w:val="20"/>
          <w:szCs w:val="20"/>
          <w:color w:val="auto"/>
        </w:rPr>
        <w:t xml:space="preserve"> и СРО у больных различными формами псориаза, а также не изучена взаимосвязь между глубиной интоксикации и тяжестью течения этого заболевания. Кроме того, результаты исследований, представленные в литературе, не объясняют причин, вызывающих нарушения 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системы</w:t>
      </w:r>
      <w:r>
        <w:rPr>
          <w:rFonts w:ascii="Verdana" w:cs="Verdana" w:eastAsia="Verdana" w:hAnsi="Verdana"/>
          <w:sz w:val="20"/>
          <w:szCs w:val="20"/>
          <w:color w:val="auto"/>
        </w:rPr>
        <w:t xml:space="preserve"> 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глутатиона </w:t>
      </w:r>
      <w:r>
        <w:rPr>
          <w:rFonts w:ascii="Verdana" w:cs="Verdana" w:eastAsia="Verdana" w:hAnsi="Verdana"/>
          <w:sz w:val="20"/>
          <w:szCs w:val="20"/>
          <w:color w:val="auto"/>
        </w:rPr>
        <w:t>при псориазе и не в полной мере раскрывают патогенетические механизмы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Verdana" w:cs="Verdana" w:eastAsia="Verdana" w:hAnsi="Verdana"/>
          <w:sz w:val="20"/>
          <w:szCs w:val="20"/>
          <w:color w:val="auto"/>
        </w:rPr>
        <w:t xml:space="preserve">развития данных изменений у больных вульгарным псориазом. В литературе показатели 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систем глутатиона </w:t>
      </w:r>
      <w:r>
        <w:rPr>
          <w:rFonts w:ascii="Verdana" w:cs="Verdana" w:eastAsia="Verdana" w:hAnsi="Verdana"/>
          <w:sz w:val="20"/>
          <w:szCs w:val="20"/>
          <w:color w:val="auto"/>
        </w:rPr>
        <w:t>и СРО не представлены как лабораторные критерии оценки тяжести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Verdana" w:cs="Verdana" w:eastAsia="Verdana" w:hAnsi="Verdana"/>
          <w:sz w:val="20"/>
          <w:szCs w:val="20"/>
          <w:color w:val="auto"/>
        </w:rPr>
        <w:t xml:space="preserve">течения псориаза и эффективности проводимой терапии. 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Цель исследования</w:t>
      </w:r>
      <w:r>
        <w:rPr>
          <w:rFonts w:ascii="Verdana" w:cs="Verdana" w:eastAsia="Verdana" w:hAnsi="Verdana"/>
          <w:sz w:val="20"/>
          <w:szCs w:val="20"/>
          <w:color w:val="auto"/>
        </w:rPr>
        <w:t>. Изучить состояние систем глутатиона и свободнорадикального окисления в эритроцитах больных псориазом и разработать способ их коррекции гепатопротекторами.</w:t>
      </w:r>
    </w:p>
    <w:p>
      <w:pPr>
        <w:spacing w:after="0" w:line="2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Задачи исследования</w:t>
      </w: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726" w:hanging="366"/>
        <w:spacing w:after="0" w:line="241" w:lineRule="auto"/>
        <w:tabs>
          <w:tab w:leader="none" w:pos="726" w:val="left"/>
        </w:tabs>
        <w:numPr>
          <w:ilvl w:val="0"/>
          <w:numId w:val="2"/>
        </w:numPr>
        <w:rPr>
          <w:rFonts w:ascii="Verdana" w:cs="Verdana" w:eastAsia="Verdana" w:hAnsi="Verdana"/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 xml:space="preserve">Изучить состояние 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систем глутатиона</w:t>
      </w:r>
      <w:r>
        <w:rPr>
          <w:rFonts w:ascii="Verdana" w:cs="Verdana" w:eastAsia="Verdana" w:hAnsi="Verdana"/>
          <w:sz w:val="20"/>
          <w:szCs w:val="20"/>
          <w:color w:val="auto"/>
        </w:rPr>
        <w:t xml:space="preserve"> и свободнорадикального окисления в эритроцитах больных с распространенными и ограниченными формами псориаза.</w:t>
      </w:r>
    </w:p>
    <w:p>
      <w:pPr>
        <w:spacing w:after="0" w:line="1" w:lineRule="exact"/>
        <w:rPr>
          <w:rFonts w:ascii="Verdana" w:cs="Verdana" w:eastAsia="Verdana" w:hAnsi="Verdana"/>
          <w:sz w:val="20"/>
          <w:szCs w:val="20"/>
          <w:color w:val="auto"/>
        </w:rPr>
      </w:pPr>
    </w:p>
    <w:p>
      <w:pPr>
        <w:ind w:left="726" w:hanging="366"/>
        <w:spacing w:after="0" w:line="241" w:lineRule="auto"/>
        <w:tabs>
          <w:tab w:leader="none" w:pos="726" w:val="left"/>
        </w:tabs>
        <w:numPr>
          <w:ilvl w:val="0"/>
          <w:numId w:val="2"/>
        </w:numPr>
        <w:rPr>
          <w:rFonts w:ascii="Verdana" w:cs="Verdana" w:eastAsia="Verdana" w:hAnsi="Verdana"/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 xml:space="preserve">Исследовать влияние гепатопротекторов на состояние 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систем глутатиона</w:t>
      </w:r>
      <w:r>
        <w:rPr>
          <w:rFonts w:ascii="Verdana" w:cs="Verdana" w:eastAsia="Verdana" w:hAnsi="Verdana"/>
          <w:sz w:val="20"/>
          <w:szCs w:val="20"/>
          <w:color w:val="auto"/>
        </w:rPr>
        <w:t xml:space="preserve"> и свободнорадикального окисления у больных распространённым псориазом.</w:t>
      </w:r>
    </w:p>
    <w:p>
      <w:pPr>
        <w:ind w:left="726" w:hanging="366"/>
        <w:spacing w:after="0" w:line="237" w:lineRule="auto"/>
        <w:tabs>
          <w:tab w:leader="none" w:pos="726" w:val="left"/>
        </w:tabs>
        <w:numPr>
          <w:ilvl w:val="0"/>
          <w:numId w:val="2"/>
        </w:numPr>
        <w:rPr>
          <w:rFonts w:ascii="Verdana" w:cs="Verdana" w:eastAsia="Verdana" w:hAnsi="Verdana"/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Провести сравнительный анализ эффективности терапии с применением гепатопротекторов и базовой терапии распространённых форм псориаза.</w:t>
      </w:r>
    </w:p>
    <w:p>
      <w:pPr>
        <w:jc w:val="both"/>
        <w:ind w:left="726" w:hanging="366"/>
        <w:spacing w:after="0" w:line="258" w:lineRule="auto"/>
        <w:tabs>
          <w:tab w:leader="none" w:pos="726" w:val="left"/>
        </w:tabs>
        <w:numPr>
          <w:ilvl w:val="0"/>
          <w:numId w:val="2"/>
        </w:numPr>
        <w:rPr>
          <w:rFonts w:ascii="Verdana" w:cs="Verdana" w:eastAsia="Verdana" w:hAnsi="Verdana"/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 xml:space="preserve">Оценить возможность использования показателей 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системы глутатиона</w:t>
      </w:r>
      <w:r>
        <w:rPr>
          <w:rFonts w:ascii="Verdana" w:cs="Verdana" w:eastAsia="Verdana" w:hAnsi="Verdana"/>
          <w:sz w:val="20"/>
          <w:szCs w:val="20"/>
          <w:color w:val="auto"/>
        </w:rPr>
        <w:t xml:space="preserve"> и параметров свободнорадикального окисления как лабораторных критериев оценки тяжести течения псориаза и эффективности его лечения.</w:t>
      </w:r>
    </w:p>
    <w:p>
      <w:pPr>
        <w:spacing w:after="0" w:line="229" w:lineRule="exact"/>
        <w:rPr>
          <w:sz w:val="20"/>
          <w:szCs w:val="20"/>
          <w:color w:val="auto"/>
        </w:rPr>
      </w:pPr>
    </w:p>
    <w:p>
      <w:pPr>
        <w:jc w:val="both"/>
        <w:ind w:left="6"/>
        <w:spacing w:after="0" w:line="241" w:lineRule="auto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Научная новизна. 1</w:t>
      </w:r>
      <w:r>
        <w:rPr>
          <w:rFonts w:ascii="Verdana" w:cs="Verdana" w:eastAsia="Verdana" w:hAnsi="Verdana"/>
          <w:sz w:val="20"/>
          <w:szCs w:val="20"/>
          <w:color w:val="auto"/>
        </w:rPr>
        <w:t>Впервые проведена комплексная оценка изменений состояния систем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Verdana" w:cs="Verdana" w:eastAsia="Verdana" w:hAnsi="Verdana"/>
          <w:sz w:val="20"/>
          <w:szCs w:val="20"/>
          <w:color w:val="auto"/>
        </w:rPr>
        <w:t xml:space="preserve">глутатиона и свободнорадикального окисления у больных с распространёнными и ограниченными формами псориаза. 2Установлена взаимосвязь между направленностью и глубиной молекулярных изменений естественной системы цитопротекции, выраженностью интоксикации и тяжестью течения псориаза. 3 Впервые проведён анализ причин, вызывающих нарушения состояния </w:t>
      </w: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системы глутатиона</w:t>
      </w:r>
      <w:r>
        <w:rPr>
          <w:rFonts w:ascii="Verdana" w:cs="Verdana" w:eastAsia="Verdana" w:hAnsi="Verdana"/>
          <w:sz w:val="20"/>
          <w:szCs w:val="20"/>
          <w:color w:val="auto"/>
        </w:rPr>
        <w:t xml:space="preserve"> при псориазе, вскрыты механизмы развития данных изменений у больных с вульгарным псориазом. Установлена взаимосвязь между степенью изменений тиолдисульфидного обмена, свободнорадикального окисления и тяжестью течения заболевания. 4 Определены показатели систем глутатиона и свободнорадикального окисления, которые могут быть использованы в качестве лабораторных критериев оценки тяжести течения болезни и эффективности проводимой терапии. 5 Впервые показано влияние гепатоцитопротекторов на состояние систем глутатиона и свободнорадикального окисления, определена их корригирующая функция у больных с распространённой формой вульгарного псориаза. 6 Установлена клиническая эффективность применения гепатопротекторов в составе базовой терапии у больных распространёнными формами псориаза.</w:t>
      </w: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Теоретическая и практическая значимость</w:t>
      </w:r>
    </w:p>
    <w:p>
      <w:pPr>
        <w:spacing w:after="0" w:line="284" w:lineRule="exact"/>
        <w:rPr>
          <w:sz w:val="20"/>
          <w:szCs w:val="20"/>
          <w:color w:val="auto"/>
        </w:rPr>
      </w:pPr>
    </w:p>
    <w:p>
      <w:pPr>
        <w:jc w:val="both"/>
        <w:ind w:left="726" w:hanging="359"/>
        <w:spacing w:after="0" w:line="247" w:lineRule="auto"/>
        <w:tabs>
          <w:tab w:leader="none" w:pos="706" w:val="left"/>
        </w:tabs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1.</w:t>
      </w:r>
      <w:r>
        <w:rPr>
          <w:sz w:val="20"/>
          <w:szCs w:val="20"/>
          <w:color w:val="auto"/>
        </w:rPr>
        <w:tab/>
      </w:r>
      <w:r>
        <w:rPr>
          <w:rFonts w:ascii="Verdana" w:cs="Verdana" w:eastAsia="Verdana" w:hAnsi="Verdana"/>
          <w:sz w:val="20"/>
          <w:szCs w:val="20"/>
          <w:color w:val="auto"/>
        </w:rPr>
        <w:t>Установлена взаимосвязь процессов тиолдисульфидного обмена и свободнорадикального окисления с тяжестью и формой течения псориаза. Патогенетически обосновано и клинически подтверждено применение препаратов гепатоцитопротекторного действия, оказывающих влияние на процессы свободнорадикального окисления и антиоксидантной защиты в эритроцитах пациентов.</w:t>
      </w: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jc w:val="both"/>
        <w:ind w:left="6" w:hanging="6"/>
        <w:spacing w:after="0" w:line="249" w:lineRule="auto"/>
        <w:tabs>
          <w:tab w:leader="none" w:pos="323" w:val="left"/>
        </w:tabs>
        <w:numPr>
          <w:ilvl w:val="0"/>
          <w:numId w:val="3"/>
        </w:numPr>
        <w:rPr>
          <w:rFonts w:ascii="Verdana" w:cs="Verdana" w:eastAsia="Verdana" w:hAnsi="Verdana"/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Выявленная динамика содержания субстратов: восстановленного глутатиона, малонового диальдегида, диеновых коньюгатов, сульфгид-рильных групп белков и активности ферментов: глутатион-S-трансферазы, глутатионпероксидазы и супероксиддисмутазы, позволяет диагностировать нарушения в системах тиолдисульфидного обмена и свободнорадикального</w:t>
      </w:r>
    </w:p>
    <w:p>
      <w:pPr>
        <w:sectPr>
          <w:pgSz w:w="11900" w:h="16838" w:orient="portrait"/>
          <w:cols w:equalWidth="0" w:num="1">
            <w:col w:w="10066"/>
          </w:cols>
          <w:pgMar w:left="994" w:top="1122" w:right="844" w:bottom="755" w:gutter="0" w:footer="0" w:header="0"/>
        </w:sectPr>
      </w:pPr>
    </w:p>
    <w:bookmarkStart w:id="2" w:name="page3"/>
    <w:bookmarkEnd w:id="2"/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окисления у больных различными формами вульгарного псориаза.</w:t>
      </w: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70" w:lineRule="auto"/>
        <w:tabs>
          <w:tab w:leader="none" w:pos="285" w:val="left"/>
        </w:tabs>
        <w:numPr>
          <w:ilvl w:val="0"/>
          <w:numId w:val="4"/>
        </w:numPr>
        <w:rPr>
          <w:rFonts w:ascii="Verdana" w:cs="Verdana" w:eastAsia="Verdana" w:hAnsi="Verdana"/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Более высокая эффективность терапии распространённых форм псориаза с использованием гепатопротекторов .</w:t>
      </w:r>
    </w:p>
    <w:p>
      <w:pPr>
        <w:spacing w:after="0" w:line="221" w:lineRule="exact"/>
        <w:rPr>
          <w:rFonts w:ascii="Verdana" w:cs="Verdana" w:eastAsia="Verdana" w:hAnsi="Verdana"/>
          <w:sz w:val="20"/>
          <w:szCs w:val="20"/>
          <w:color w:val="auto"/>
        </w:rPr>
      </w:pPr>
    </w:p>
    <w:p>
      <w:pPr>
        <w:jc w:val="both"/>
        <w:ind w:left="6" w:hanging="6"/>
        <w:spacing w:after="0" w:line="246" w:lineRule="auto"/>
        <w:tabs>
          <w:tab w:leader="none" w:pos="338" w:val="left"/>
        </w:tabs>
        <w:numPr>
          <w:ilvl w:val="0"/>
          <w:numId w:val="4"/>
        </w:numPr>
        <w:rPr>
          <w:rFonts w:ascii="Verdana" w:cs="Verdana" w:eastAsia="Verdana" w:hAnsi="Verdana"/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Изменения содержания сульфгидрильных групп белков, восстановленного глутатиона и малонового диальдегида, активность глутатионпероксидазы и глутатион-S-трансферазы, а также уровень общей антиокислительной активности эритроцитов у больных распространёнными формами псориаза позволяют рассматривать их как лабораторные критерии оценки тяжести заболевания и эффективности терапии.</w:t>
      </w:r>
    </w:p>
    <w:p>
      <w:pPr>
        <w:spacing w:after="0" w:line="2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Методология и методы исследований</w:t>
      </w:r>
    </w:p>
    <w:p>
      <w:pPr>
        <w:spacing w:after="0" w:line="284" w:lineRule="exact"/>
        <w:rPr>
          <w:sz w:val="20"/>
          <w:szCs w:val="20"/>
          <w:color w:val="auto"/>
        </w:rPr>
      </w:pPr>
    </w:p>
    <w:p>
      <w:pPr>
        <w:jc w:val="both"/>
        <w:ind w:left="6"/>
        <w:spacing w:after="0" w:line="242" w:lineRule="auto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Под наблюдением находилось 85 больных (табл. 1), которые отбирались из числа пациентов клиники кожных и венерических болезней Военно-медицинской академии, районных кожно-венерологических диспансеров, кожно-венерологического отделения 1586 ОВКГ МВО и ЦГБ г. Смоленска. Критерием включения являлось наличие заболевания в течение 12 месяцев и более, подтвержденное медицинской документацией. Все больные были обследованы и получали лечение в соответствии с клиническими рекомендациями РОДВК – Дерматология: Клинические рекомендации // Под ред. проф. А.А. Кубановой. – М.: ДЭКС-Пресс, 2010. – 428 с. При поступлении, а также в процессе лечения проводились клинические исследования крови, мочи, биохимические исследования: белков, включая С-реактивный белок и ревматоидный фактор, иммуноглобулины М и G; липидного: триглицеридов и холестерина; ферментов: аланин- и аспартатаминотрансфераз, шелочной фосфатазы, альфа-амилазы; креатинина, мочевины, билирубина, глюкозы и электролитов: натрия, калия хлора. Кроме того, по показаниям проводились рентгенологические и функциональные исследования (электрокардиография, функция внешнего дыхания и др.).</w:t>
      </w:r>
    </w:p>
    <w:p>
      <w:pPr>
        <w:spacing w:after="0" w:line="255" w:lineRule="exact"/>
        <w:rPr>
          <w:sz w:val="20"/>
          <w:szCs w:val="20"/>
          <w:color w:val="auto"/>
        </w:rPr>
      </w:pPr>
    </w:p>
    <w:p>
      <w:pPr>
        <w:jc w:val="both"/>
        <w:ind w:left="6"/>
        <w:spacing w:after="0" w:line="242" w:lineRule="auto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Характеристика больных: На основании проведенного обследования у всех пациентов был диагностирован вульгарный псориаз. Больные с артропатическим псориазом и псориатической эритродермией в план научных исследований не включались. На момент включения в исследование все больные находились в прогрессирующей стадии заболевания. Тяжесть болезни оценивалась по индексу площади и тяжести псориатических поражений PASI (Psoriasis Area and Severity Index). Легкая степень – &lt; 12 баллов, средняя - 12 – 20 &lt; баллов, тяжелая - 20 баллов. Результаты лечения оценивались на основании регресса индекса PASI: снижение на 50% и более по сравнению с исходными данными – значительное улучшение, снижение менее чем на 50% – незначительное улучшение. Контрольную группу составили 20 здоровых доноров, сопоставимых по полу и возрасту с пациентами обследованных групп. Вся работа была разделена на 2 этапа</w:t>
      </w: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826" w:val="left"/>
        </w:tabs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Схема проведения исследований:</w:t>
        <w:tab/>
        <w:t>Первый этап включал исследование параметров системы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ind w:left="6"/>
        <w:spacing w:after="0" w:line="242" w:lineRule="auto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глутатиона и ряда показателей систем СРО и АОЗ у двух групп больных: с ограниченными и распространёнными формами вульгарного псориаза. Всем пациентам при поступлении , а также в конце каждой недели наблюдения осуществлялся забор периферической крови из вены, в эритроцитах которой проводилось определение содержания субстратов и активности ферментов систем глутатиона и СРО. Во втором этапе исследования участвовали только больные с распространёнными формами псориаза. В комплекс лечебных мероприятий были включены гепатопротекторы которые вводились пациентам с индексом PASI не ниже 20 баллов Выбор данных препаратов был произведён на основании того, что в их состав входят серосодержащие метаболиты, являющиеся источниками сульфгидрильных групп и, следовательно, влияющие на обмен тиолов и дисульфидов.</w:t>
      </w: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jc w:val="both"/>
        <w:ind w:left="6"/>
        <w:spacing w:after="0" w:line="249" w:lineRule="auto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Все лабораторные исследования показателей обмена глутатиона, свободнорадикального окисления и антиоксидантной системы проводились общепринятыми биохимическими методами (Карпищенко А.И., 2002) на кафедре клинической биохимии и лабораторной диагностики Военно-медицинской академии им. С.М. Кирова.</w:t>
      </w:r>
    </w:p>
    <w:p>
      <w:pPr>
        <w:sectPr>
          <w:pgSz w:w="11900" w:h="16838" w:orient="portrait"/>
          <w:cols w:equalWidth="0" w:num="1">
            <w:col w:w="10066"/>
          </w:cols>
          <w:pgMar w:left="994" w:top="1122" w:right="844" w:bottom="1440" w:gutter="0" w:footer="0" w:header="0"/>
        </w:sectPr>
      </w:pPr>
    </w:p>
    <w:bookmarkStart w:id="3" w:name="page4"/>
    <w:bookmarkEnd w:id="3"/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Основные положения диссертации, выносимые на защиту</w:t>
      </w:r>
    </w:p>
    <w:p>
      <w:pPr>
        <w:spacing w:after="0" w:line="284" w:lineRule="exact"/>
        <w:rPr>
          <w:sz w:val="20"/>
          <w:szCs w:val="20"/>
          <w:color w:val="auto"/>
        </w:rPr>
      </w:pPr>
    </w:p>
    <w:p>
      <w:pPr>
        <w:jc w:val="both"/>
        <w:ind w:left="726" w:hanging="366"/>
        <w:spacing w:after="0"/>
        <w:tabs>
          <w:tab w:leader="none" w:pos="726" w:val="left"/>
        </w:tabs>
        <w:numPr>
          <w:ilvl w:val="0"/>
          <w:numId w:val="5"/>
        </w:numPr>
        <w:rPr>
          <w:rFonts w:ascii="Verdana" w:cs="Verdana" w:eastAsia="Verdana" w:hAnsi="Verdana"/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У больных псориазом выявлены нарушения содержания субстратов и активности ферментов систем глутатиона и свободнорадикального окисления, статистически значимо проявляющиеся при распространённых формах заболевания.</w:t>
      </w:r>
    </w:p>
    <w:p>
      <w:pPr>
        <w:jc w:val="both"/>
        <w:ind w:left="726" w:hanging="366"/>
        <w:spacing w:after="0"/>
        <w:tabs>
          <w:tab w:leader="none" w:pos="726" w:val="left"/>
        </w:tabs>
        <w:numPr>
          <w:ilvl w:val="0"/>
          <w:numId w:val="5"/>
        </w:numPr>
        <w:rPr>
          <w:rFonts w:ascii="Verdana" w:cs="Verdana" w:eastAsia="Verdana" w:hAnsi="Verdana"/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Лабораторными критериями оценки тяжести псориаза и эффективности проводимой терапии являются концентрации: сульфгидрильных групп белков, восстановленного глутатиона и малонового диальдегида, активность глутатионпероксидазы и глутатион-S-трансферазы, а также уровень общей антиокислительной активности эритроцитов.</w:t>
      </w:r>
    </w:p>
    <w:p>
      <w:pPr>
        <w:spacing w:after="0" w:line="2" w:lineRule="exact"/>
        <w:rPr>
          <w:rFonts w:ascii="Verdana" w:cs="Verdana" w:eastAsia="Verdana" w:hAnsi="Verdana"/>
          <w:sz w:val="20"/>
          <w:szCs w:val="20"/>
          <w:color w:val="auto"/>
        </w:rPr>
      </w:pPr>
    </w:p>
    <w:p>
      <w:pPr>
        <w:jc w:val="both"/>
        <w:ind w:left="726" w:hanging="366"/>
        <w:spacing w:after="0" w:line="249" w:lineRule="auto"/>
        <w:tabs>
          <w:tab w:leader="none" w:pos="726" w:val="left"/>
        </w:tabs>
        <w:numPr>
          <w:ilvl w:val="0"/>
          <w:numId w:val="5"/>
        </w:numPr>
        <w:rPr>
          <w:rFonts w:ascii="Verdana" w:cs="Verdana" w:eastAsia="Verdana" w:hAnsi="Verdana"/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У больных с распространёнными формами псориаза базовая терапия значимо влияет на состояние систем глутатиона и свободнорадикального окисления, приводя при этом к ускоренному разрешению элементов кожной сыпи и повышению эффективности лечения по сравнению с базовой терапией.</w:t>
      </w:r>
    </w:p>
    <w:p>
      <w:pPr>
        <w:spacing w:after="0" w:line="24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b w:val="1"/>
          <w:bCs w:val="1"/>
          <w:color w:val="auto"/>
        </w:rPr>
        <w:t>Степень достоверности и апробация результатов</w:t>
      </w:r>
    </w:p>
    <w:p>
      <w:pPr>
        <w:spacing w:after="0" w:line="284" w:lineRule="exact"/>
        <w:rPr>
          <w:sz w:val="20"/>
          <w:szCs w:val="20"/>
          <w:color w:val="auto"/>
        </w:rPr>
      </w:pPr>
    </w:p>
    <w:p>
      <w:pPr>
        <w:jc w:val="both"/>
        <w:ind w:left="6"/>
        <w:spacing w:after="0" w:line="239" w:lineRule="auto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Статистическую обработку материала проводили с помощью программного пакета Statistika 6.1 for Windows. В ходе обработки данных рассчитывали среднее арифметическое значение, среднее квадратичное отклонение, среднюю квадратичную ошибку среднего значения. Для оценки межгрупповых различий применяли параметрический t-критерий Стьюдента. Критерием статистической достоверности считали величину р &lt; 0,05. Основные положения диссертационного исследования были доложены и обсуждены на V научно-практической конференции «Санкт-Петербургские дерматологические чтения» (Санкт-Петербург, 2011); IV Международном молодежном медицинском конгрессе (Санкт-Петербург, 2011); 40-й конференции молодых ученых Смоленской государственной медицинской академии (г. Смоленск, 2012); научно-практической конференции «Терапевтическая школа С.П. Боткина и</w:t>
      </w:r>
    </w:p>
    <w:p>
      <w:pPr>
        <w:spacing w:after="0" w:line="8" w:lineRule="exact"/>
        <w:rPr>
          <w:sz w:val="20"/>
          <w:szCs w:val="20"/>
          <w:color w:val="auto"/>
        </w:rPr>
      </w:pPr>
    </w:p>
    <w:p>
      <w:pPr>
        <w:jc w:val="both"/>
        <w:ind w:left="6" w:hanging="6"/>
        <w:spacing w:after="0" w:line="242" w:lineRule="auto"/>
        <w:tabs>
          <w:tab w:leader="none" w:pos="328" w:val="left"/>
        </w:tabs>
        <w:numPr>
          <w:ilvl w:val="0"/>
          <w:numId w:val="6"/>
        </w:numPr>
        <w:rPr>
          <w:rFonts w:ascii="Verdana" w:cs="Verdana" w:eastAsia="Verdana" w:hAnsi="Verdana"/>
          <w:sz w:val="20"/>
          <w:szCs w:val="20"/>
          <w:color w:val="auto"/>
        </w:rPr>
      </w:pPr>
      <w:r>
        <w:rPr>
          <w:rFonts w:ascii="Verdana" w:cs="Verdana" w:eastAsia="Verdana" w:hAnsi="Verdana"/>
          <w:sz w:val="20"/>
          <w:szCs w:val="20"/>
          <w:color w:val="auto"/>
        </w:rPr>
        <w:t>вклад, в развитие отечественной клинической медицины» (Санкт-Петербург, 2012), Санкт-Петербургском научном обществе дерматологов и венерологов им. В.М. Тарновского (Санкт-Петербург, 2012). По теме диссертационного исследования опубликовано 10 научных работ, из них три в журналах, рекомендованных ВАК Минобрнауки РФ. На основе полученных результатов разработаны и внедрены в практику лечения больных псориазом схемы с использованием препаратов гепатопротекторного действия. Разработанные рекомендации, используются в учебном процессе, научной и лечебно-диагностической работе на кафедре кожных и венерических болезней Военно-медицинской академии им. С.М. Кирова, на кафедрах и клиниках дерматовенерологии СПбГМУ им. И.П. Павлова, СЗГМУ им. И.И. Мечникова, в лечебно-диагностическом процессе в кожно-венеро-логических диспансерах Санкт-Петербурга и г. Смоленска». Диссертация состоит из введения, 4 глав, включающих обзор литературы, общую характеристику материалов и методов исследования, полученных результатов и их обсуждения, заключения и выводов. Работа изложена на 104 страницах, содержит 22 таблицы. Список литературы включает 162 источника, из них 91 отечественных и 71 иностранных авторов.</w:t>
      </w:r>
    </w:p>
    <w:sectPr>
      <w:pgSz w:w="11900" w:h="16838" w:orient="portrait"/>
      <w:cols w:equalWidth="0" w:num="1">
        <w:col w:w="10066"/>
      </w:cols>
      <w:pgMar w:left="994" w:top="1118" w:right="844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2000019F" w:csb1="00000000"/>
  </w:font>
</w:fonts>
</file>

<file path=word/numbering.xml><?xml version="1.0" encoding="utf-8"?>
<w:numbering xmlns:w="http://schemas.openxmlformats.org/wordprocessingml/2006/main">
  <w:abstractNum w:abstractNumId="0">
    <w:nsid w:val="2AE8944A"/>
    <w:multiLevelType w:val="hybridMultilevel"/>
    <w:lvl w:ilvl="0">
      <w:lvlJc w:val="left"/>
      <w:lvlText w:val="и"/>
      <w:numFmt w:val="bullet"/>
      <w:start w:val="1"/>
    </w:lvl>
  </w:abstractNum>
  <w:abstractNum w:abstractNumId="1">
    <w:nsid w:val="625558EC"/>
    <w:multiLevelType w:val="hybridMultilevel"/>
    <w:lvl w:ilvl="0">
      <w:lvlJc w:val="left"/>
      <w:lvlText w:val="%1."/>
      <w:numFmt w:val="decimal"/>
      <w:start w:val="1"/>
    </w:lvl>
  </w:abstractNum>
  <w:abstractNum w:abstractNumId="2">
    <w:nsid w:val="238E1F29"/>
    <w:multiLevelType w:val="hybridMultilevel"/>
    <w:lvl w:ilvl="0">
      <w:lvlJc w:val="left"/>
      <w:lvlText w:val="%1."/>
      <w:numFmt w:val="decimal"/>
      <w:start w:val="2"/>
    </w:lvl>
  </w:abstractNum>
  <w:abstractNum w:abstractNumId="3">
    <w:nsid w:val="46E87CCD"/>
    <w:multiLevelType w:val="hybridMultilevel"/>
    <w:lvl w:ilvl="0">
      <w:lvlJc w:val="left"/>
      <w:lvlText w:val="%1."/>
      <w:numFmt w:val="decimal"/>
      <w:start w:val="3"/>
    </w:lvl>
  </w:abstractNum>
  <w:abstractNum w:abstractNumId="4">
    <w:nsid w:val="3D1B58BA"/>
    <w:multiLevelType w:val="hybridMultilevel"/>
    <w:lvl w:ilvl="0">
      <w:lvlJc w:val="left"/>
      <w:lvlText w:val="%1."/>
      <w:numFmt w:val="decimal"/>
      <w:start w:val="1"/>
    </w:lvl>
  </w:abstractNum>
  <w:abstractNum w:abstractNumId="5">
    <w:nsid w:val="507ED7AB"/>
    <w:multiLevelType w:val="hybridMultilevel"/>
    <w:lvl w:ilvl="0">
      <w:lvlJc w:val="left"/>
      <w:lvlText w:val="ее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2018-08-26T06:20:32Z</dcterms:created>
  <dcterms:modified xsi:type="dcterms:W3CDTF">2018-08-26T06:20:32Z</dcterms:modified>
</cp:coreProperties>
</file>