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648" w:rsidRPr="00342926" w:rsidRDefault="00E972A4" w:rsidP="00831648">
      <w:pPr>
        <w:shd w:val="clear" w:color="auto" w:fill="FFFFFF"/>
        <w:spacing w:after="107" w:line="240" w:lineRule="auto"/>
        <w:outlineLvl w:val="0"/>
        <w:rPr>
          <w:rFonts w:ascii="Arial" w:eastAsia="Times New Roman" w:hAnsi="Arial" w:cs="Arial"/>
          <w:color w:val="474747"/>
          <w:kern w:val="36"/>
          <w:sz w:val="36"/>
          <w:szCs w:val="36"/>
          <w:lang w:eastAsia="ru-RU"/>
        </w:rPr>
      </w:pPr>
      <w:r>
        <w:rPr>
          <w:rFonts w:ascii="Arial" w:eastAsia="Times New Roman" w:hAnsi="Arial" w:cs="Arial"/>
          <w:color w:val="474747"/>
          <w:kern w:val="36"/>
          <w:sz w:val="36"/>
          <w:szCs w:val="36"/>
          <w:lang w:eastAsia="ru-RU"/>
        </w:rPr>
        <w:t xml:space="preserve">Роль </w:t>
      </w:r>
      <w:proofErr w:type="spellStart"/>
      <w:r w:rsidR="00831648" w:rsidRPr="00342926">
        <w:rPr>
          <w:rFonts w:ascii="Arial" w:eastAsia="Times New Roman" w:hAnsi="Arial" w:cs="Arial"/>
          <w:color w:val="474747"/>
          <w:kern w:val="36"/>
          <w:sz w:val="36"/>
          <w:szCs w:val="36"/>
          <w:lang w:eastAsia="ru-RU"/>
        </w:rPr>
        <w:t>Уридин</w:t>
      </w:r>
      <w:r>
        <w:rPr>
          <w:rFonts w:ascii="Arial" w:eastAsia="Times New Roman" w:hAnsi="Arial" w:cs="Arial"/>
          <w:color w:val="474747"/>
          <w:kern w:val="36"/>
          <w:sz w:val="36"/>
          <w:szCs w:val="36"/>
          <w:lang w:eastAsia="ru-RU"/>
        </w:rPr>
        <w:t>а</w:t>
      </w:r>
      <w:proofErr w:type="spellEnd"/>
      <w:r>
        <w:rPr>
          <w:rFonts w:ascii="Arial" w:eastAsia="Times New Roman" w:hAnsi="Arial" w:cs="Arial"/>
          <w:color w:val="474747"/>
          <w:kern w:val="36"/>
          <w:sz w:val="36"/>
          <w:szCs w:val="36"/>
          <w:lang w:eastAsia="ru-RU"/>
        </w:rPr>
        <w:t xml:space="preserve"> в организме человека</w:t>
      </w:r>
    </w:p>
    <w:p w:rsidR="00831648" w:rsidRPr="00831648" w:rsidRDefault="00831648" w:rsidP="00831648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74747"/>
          <w:sz w:val="20"/>
          <w:szCs w:val="20"/>
          <w:lang w:eastAsia="ru-RU"/>
        </w:rPr>
      </w:pPr>
    </w:p>
    <w:p w:rsidR="00342926" w:rsidRDefault="00E972A4" w:rsidP="009A7010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474747"/>
          <w:sz w:val="21"/>
          <w:szCs w:val="21"/>
          <w:lang w:eastAsia="ru-RU"/>
        </w:rPr>
      </w:pPr>
      <w:proofErr w:type="spellStart"/>
      <w:r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>
        <w:rPr>
          <w:rFonts w:ascii="Arial" w:eastAsia="Times New Roman" w:hAnsi="Arial" w:cs="Arial"/>
          <w:color w:val="474747"/>
          <w:sz w:val="21"/>
          <w:szCs w:val="21"/>
          <w:lang w:eastAsia="ru-RU"/>
        </w:rPr>
        <w:t>-</w:t>
      </w:r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нуклеозид, содержит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урацил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прикрепленный к кольцу рибозы (известному как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рибофураноза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) с помощью β-N1-гликозидной связи.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Урацил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присоединенный к кольцу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дезоксирибозы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образует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дезокси</w:t>
      </w:r>
      <w:r w:rsidR="00342926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="00342926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. </w:t>
      </w:r>
      <w:proofErr w:type="spellStart"/>
      <w:r w:rsidR="00342926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="00342926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– это нуклео</w:t>
      </w:r>
      <w:r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з</w:t>
      </w:r>
      <w:r w:rsidR="00342926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ид</w:t>
      </w:r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который используется для повышения синтеза клеточных мембран, а также для других неврологических целей. Он обладает потенциальными способностями улучшать когнитивный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процесс</w:t>
      </w:r>
      <w:proofErr w:type="gramStart"/>
      <w:r>
        <w:rPr>
          <w:rFonts w:ascii="Arial" w:eastAsia="Times New Roman" w:hAnsi="Arial" w:cs="Arial"/>
          <w:color w:val="474747"/>
          <w:sz w:val="21"/>
          <w:szCs w:val="21"/>
          <w:lang w:eastAsia="ru-RU"/>
        </w:rPr>
        <w:t>.</w:t>
      </w:r>
      <w:r w:rsidR="00831648"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И</w:t>
      </w:r>
      <w:proofErr w:type="gramEnd"/>
      <w:r w:rsidR="00831648"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сследователи</w:t>
      </w:r>
      <w:proofErr w:type="spellEnd"/>
      <w:r w:rsidR="00831648"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 из Гарварда сообщают, что добавки </w:t>
      </w:r>
      <w:proofErr w:type="spellStart"/>
      <w:r w:rsidR="00831648"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уридина</w:t>
      </w:r>
      <w:proofErr w:type="spellEnd"/>
      <w:r w:rsidR="00831648"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 и EPA / DHA омега-3 жирных кислот у крыс </w:t>
      </w:r>
    </w:p>
    <w:p w:rsidR="00E972A4" w:rsidRPr="00E972A4" w:rsidRDefault="00831648" w:rsidP="00E972A4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474747"/>
          <w:sz w:val="32"/>
          <w:szCs w:val="32"/>
          <w:lang w:eastAsia="ru-RU"/>
        </w:rPr>
      </w:pPr>
      <w:proofErr w:type="spellStart"/>
      <w:r w:rsidRPr="00342926">
        <w:rPr>
          <w:rFonts w:ascii="Arial" w:eastAsia="Times New Roman" w:hAnsi="Arial" w:cs="Arial"/>
          <w:color w:val="474747"/>
          <w:sz w:val="32"/>
          <w:szCs w:val="32"/>
          <w:lang w:eastAsia="ru-RU"/>
        </w:rPr>
        <w:t>Уридин</w:t>
      </w:r>
      <w:proofErr w:type="spellEnd"/>
      <w:r w:rsidRPr="00342926">
        <w:rPr>
          <w:rFonts w:ascii="Arial" w:eastAsia="Times New Roman" w:hAnsi="Arial" w:cs="Arial"/>
          <w:color w:val="474747"/>
          <w:sz w:val="32"/>
          <w:szCs w:val="32"/>
          <w:lang w:eastAsia="ru-RU"/>
        </w:rPr>
        <w:t xml:space="preserve"> в </w:t>
      </w:r>
      <w:proofErr w:type="spellStart"/>
      <w:r w:rsidRPr="00342926">
        <w:rPr>
          <w:rFonts w:ascii="Arial" w:eastAsia="Times New Roman" w:hAnsi="Arial" w:cs="Arial"/>
          <w:color w:val="474747"/>
          <w:sz w:val="32"/>
          <w:szCs w:val="32"/>
          <w:lang w:eastAsia="ru-RU"/>
        </w:rPr>
        <w:t>гликолизном</w:t>
      </w:r>
      <w:proofErr w:type="spellEnd"/>
      <w:r w:rsidRPr="00342926">
        <w:rPr>
          <w:rFonts w:ascii="Arial" w:eastAsia="Times New Roman" w:hAnsi="Arial" w:cs="Arial"/>
          <w:color w:val="474747"/>
          <w:sz w:val="32"/>
          <w:szCs w:val="32"/>
          <w:lang w:eastAsia="ru-RU"/>
        </w:rPr>
        <w:t xml:space="preserve"> пути</w:t>
      </w:r>
      <w:r w:rsidR="00E972A4">
        <w:rPr>
          <w:rFonts w:ascii="Arial" w:eastAsia="Times New Roman" w:hAnsi="Arial" w:cs="Arial"/>
          <w:color w:val="474747"/>
          <w:sz w:val="32"/>
          <w:szCs w:val="32"/>
          <w:lang w:eastAsia="ru-RU"/>
        </w:rPr>
        <w:t xml:space="preserve">: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играет важную роль в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гликолизном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пути галактозы. Не существует катаболического процесса для метаболизма галактозы. Таким образом, галактоза превращается в глюкозу и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метаболизируется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в общем глюкозном пути. После преобразования поступающей галактозы в галактозу-1-фосфат (Gal-1-P), она участвует в реакции с UDP-глюкозой, молекулой глюкозы, присоединенной к молекуле UDP (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уридин-ди-фосфат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). Этот процесс катализируется ферментом галактоза-1-фосфат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уридилтрансферазы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, и передает UDP к молекуле галактозы. Конечным результатом является молекула UDP-галактозы и молекула глюкоза-1-фосфата. Этот процесс продолжается для осуществления гликолиза молекулы галактозы.</w:t>
      </w:r>
    </w:p>
    <w:p w:rsidR="00831648" w:rsidRPr="00831648" w:rsidRDefault="00831648" w:rsidP="00831648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474747"/>
          <w:sz w:val="21"/>
          <w:szCs w:val="21"/>
          <w:lang w:eastAsia="ru-RU"/>
        </w:rPr>
      </w:pPr>
      <w:r w:rsidRPr="00E972A4">
        <w:rPr>
          <w:rFonts w:ascii="Arial" w:eastAsia="Times New Roman" w:hAnsi="Arial" w:cs="Arial"/>
          <w:color w:val="474747"/>
          <w:sz w:val="28"/>
          <w:szCs w:val="28"/>
          <w:lang w:eastAsia="ru-RU"/>
        </w:rPr>
        <w:t>Фармакология</w:t>
      </w:r>
      <w:r w:rsidR="00E972A4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gramStart"/>
      <w:r w:rsidR="00E972A4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: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поглощается из кишечника посредством либо облегченной диффузии, либо специальных транспортировщиков </w:t>
      </w:r>
      <w:r w:rsidR="00E972A4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причина.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Уровень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в сыворотке в состоянии покоя колеблется в диапазоне 3-8микромоль.</w:t>
      </w:r>
      <w:bookmarkStart w:id="0" w:name="refnotes:1:ref10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"refnotes:1:note10"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10)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0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Эритроциты содержат энзим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уридин-дифосфат-глюкозу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который входит в систему P450; при необходимости, данный энзим может быть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лизирован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для обеспечения в организме чистого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 глюкозы, когда содержание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израсходовано.</w:t>
      </w:r>
      <w:proofErr w:type="gramEnd"/>
    </w:p>
    <w:p w:rsidR="00831648" w:rsidRPr="00342926" w:rsidRDefault="00831648" w:rsidP="00831648">
      <w:pPr>
        <w:shd w:val="clear" w:color="auto" w:fill="FFFFFF"/>
        <w:spacing w:before="450" w:after="225" w:line="240" w:lineRule="auto"/>
        <w:outlineLvl w:val="1"/>
        <w:rPr>
          <w:rFonts w:ascii="Arial" w:eastAsia="Times New Roman" w:hAnsi="Arial" w:cs="Arial"/>
          <w:b/>
          <w:color w:val="474747"/>
          <w:sz w:val="28"/>
          <w:szCs w:val="28"/>
          <w:lang w:eastAsia="ru-RU"/>
        </w:rPr>
      </w:pPr>
      <w:r w:rsidRPr="00342926">
        <w:rPr>
          <w:rFonts w:ascii="Arial" w:eastAsia="Times New Roman" w:hAnsi="Arial" w:cs="Arial"/>
          <w:b/>
          <w:color w:val="474747"/>
          <w:sz w:val="28"/>
          <w:szCs w:val="28"/>
          <w:lang w:eastAsia="ru-RU"/>
        </w:rPr>
        <w:t>Неврология (Механизмы)</w:t>
      </w:r>
    </w:p>
    <w:p w:rsidR="00831648" w:rsidRPr="00831648" w:rsidRDefault="00831648" w:rsidP="00831648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474747"/>
          <w:sz w:val="21"/>
          <w:szCs w:val="21"/>
          <w:lang w:eastAsia="ru-RU"/>
        </w:rPr>
      </w:pPr>
      <w:proofErr w:type="spellStart"/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известен в качестве обходного пути гематоэнцефалического барьера</w:t>
      </w:r>
      <w:bookmarkStart w:id="1" w:name="refnotes:1:ref11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"refnotes:1:note11"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11)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1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, и подхватывается одним из двух транспортировщиков, один класс которых называется равновесные</w:t>
      </w:r>
      <w:bookmarkStart w:id="2" w:name="refnotes:1:ref12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"refnotes:1:note12"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12)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2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(семейство SLC29;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например, транспортировщики ENT1, ENT2 и ENT3), обладающие низким сродством (диапазон 100–800микромоль) и независимые от натрия, и сосредоточивающие (семейство SLC28, состоящее из ENT4, а также CNT1, 2 и 3), которые представляют собой независимые от натрия активные транспортировщики с высоким сродством (1-50микромоль).</w:t>
      </w:r>
      <w:bookmarkStart w:id="3" w:name="refnotes:1:ref13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"refnotes:1:note13"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13)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3"/>
    </w:p>
    <w:p w:rsidR="00831648" w:rsidRPr="00831648" w:rsidRDefault="00831648" w:rsidP="00831648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474747"/>
          <w:sz w:val="21"/>
          <w:szCs w:val="21"/>
          <w:lang w:eastAsia="ru-RU"/>
        </w:rPr>
      </w:pPr>
      <w:proofErr w:type="spellStart"/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играет роль питательной среды в синтезе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фосфатидилхолина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в цикле Кеннеди (также известен как путь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цитидиндифосфатхолина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фосфатидилэтаноламин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также вырабатывается данным способом).</w:t>
      </w:r>
      <w:bookmarkStart w:id="4" w:name="refnotes:1:ref14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"refnotes:1:note14"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14)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4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В этом способе холин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киназа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катализирует холин в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фосфохолин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, в процессе поглощая молекулу АТФ</w:t>
      </w:r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bookmarkStart w:id="5" w:name="refnotes:1:ref15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"refnotes:1:note15"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15)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5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при этом она обладает незначительным сродством (таким образом, большая часть клеточного холина немедленно преобразуется в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фосфохолин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), и хотя это не единственный возможный способ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производства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(распад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сфингомиелина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также дает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фосфохолин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), он является наиболее совершенным способом и первым шагом синтеза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посредством цикла Кеннеди, при этом концентрация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непосредственно находится под влиянием растущего поглощения холина.</w:t>
      </w:r>
      <w:bookmarkStart w:id="6" w:name="refnotes:1:ref16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"refnotes:1:note16"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16)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6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В других зонах,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фосфохолин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цитидилилтрансфераза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преобразует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цитидинтрифосфат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в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цитидиндифосфатхолин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плюс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пирофосфат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(используя ранее созданный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фосфохолин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в качестве источника холина).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Эта стадия наиболее медленная в цикле Кеннеди и ограниченная по скорости,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однако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ее деятельность определяет весь синтез фосфохолина.</w:t>
      </w:r>
      <w:bookmarkStart w:id="7" w:name="refnotes:1:ref17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"refnotes:1:note17"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17)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7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Обычно в клеточных культурах наблюдается большое количество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 недостаток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цитидиндифосфатхолина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при этом ограничение по скорости на этой стадии определяется усвояемостью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цитидинтрифосфата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.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Данный энзим также отрицательно регулируется мозговыми фосфолипидами, и это основные механизмы, обусловливающие гомеостаз фосфолипидов и предотвращающие избыточный синтез фосфолипидов.</w:t>
      </w:r>
      <w:bookmarkStart w:id="8" w:name="refnotes:1:ref18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"refnotes:1:note18"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18)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8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В конечном итоге, холин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фосфотрансфераза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(не путать с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карнитин-пальмитоилтрансферазой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которая имеет аналогичную аббревиатуру) транспортирует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lastRenderedPageBreak/>
        <w:t>фосфохолин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от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цитидиндифосфатхолина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до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диациглицерина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.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Здесь также участвует энзим под названием холин–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этаноламин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фосфотрансфераза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который обладает двойной специфичностью для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цитидиндифосфатхолина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цитидиндифосфатэтаноламина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(и особенно для последнего), отдача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диациглицерину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в конечном итоге создает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фосфолипиды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наподобие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фосфатидилхолина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(другие энзимы, использующие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цитидиндифосфатэтаноламин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взамен этого создают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фосфатидилэтаноламин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).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Этот энзим не стимулируется инкубацией с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уридином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, но стимулируется нервным ростовым фактором (НРФ).</w:t>
      </w:r>
      <w:bookmarkStart w:id="9" w:name="refnotes:1:ref19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"refnotes:1:note19"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19)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9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преобразуются в фосфолипиды с помощью цикла Кеннеди, в вышеуказанном цикле имеет место ограничение по скорости непосредственно вслед за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энзимом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CCT.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Обеспечение воздействия энзима на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– это то, что определяет скорость.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используется в качестве питательной среды, из которой синтезируется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цитидиндифосфатхолин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(хотя и перед ограниченным по скорости этапом) косвенно за счет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.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Обеспечение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(синтезированного из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) ограничено по скорости в вышеуказанном процессе, при этом обеспечение дополнительного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клеткам или срезам мозга при достаточной концентрации холина ускоряет синтез цитидиндифосфатхолина.</w:t>
      </w:r>
      <w:bookmarkStart w:id="10" w:name="refnotes:1:ref20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"refnotes:1:note20"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20)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10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продемонстрировал аналогичное свойство за счет преобразования в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путем первоначального преобразования в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трифосфат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(УТФ) и затем в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цитидинтрифосфат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, что было подтверждено на живой модели.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В то время как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создает УТФ в количестве 5микромоль, он стимулирует максимальный синтез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цитидиндифосфатхолина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в 50микромоль в лабораторных условиях; производство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цитидиндифосфатхолина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из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было подтверждено на живом организме при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пероральном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приеме уридина.</w:t>
      </w:r>
      <w:bookmarkStart w:id="11" w:name="refnotes:1:ref21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"refnotes:1:note21"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21)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11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Добавление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или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к клеточным культурам увеличит уровень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в клетках и преодолеет ограничение скорости, что приведет к выработке фосфолипидов.</w:t>
      </w:r>
      <w:proofErr w:type="gramEnd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Относительно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фосфатидилхолина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была выдвинута гипотеза[54], что недостаточность роста связана с быстрым накоплением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фосфатидилхолина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в мембранах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фосфолипидов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; гипотеза связана с предыдущим исследованием, отметившим снижение концентрации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фосфатидилхолина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за счет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или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пропрепаратов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.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Пероральный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прием внутрь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увеличивает уровень предшественников мозговых фосфолипидов у здоровых людей, в особенности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фосфатидилэтаноламина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. Хотя рост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фосфатидилхолина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не может быть исключен, он не был достоверно выявлен у людей</w:t>
      </w:r>
      <w:r w:rsidR="00E972A4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.</w:t>
      </w:r>
    </w:p>
    <w:p w:rsidR="00831648" w:rsidRPr="00E972A4" w:rsidRDefault="00831648" w:rsidP="00E972A4">
      <w:pPr>
        <w:shd w:val="clear" w:color="auto" w:fill="FFFFFF"/>
        <w:spacing w:after="213" w:line="240" w:lineRule="auto"/>
        <w:outlineLvl w:val="2"/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>Рецепторы P2</w:t>
      </w:r>
      <w:r w:rsidR="00E972A4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 xml:space="preserve">: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Рецепторы P2 – это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метакласс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рецепторов, которые реагируют на внеклеточные пурины и пиримидины (такие как АТФ[58]) и содействуют так называемой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пуринэргической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нейропередаче.</w:t>
      </w:r>
      <w:bookmarkStart w:id="12" w:name="refnotes:1:ref23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"refnotes:1:note23"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23)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12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Данный класс рецепторов аналогичен по строению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аденозиновым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рецепторам (до такой степени, что они обычно называются так же) и разделяется на классы P2Y и P2X (которые отличаются тем, что рецепторы P2Y являются сопряжёнными с G-белком, в то время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как P2X – это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лиганд-управляемые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ионные каналы). </w:t>
      </w:r>
      <w:proofErr w:type="spellStart"/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представляет собой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агонист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рецепторов P2, особенно подкласса P2Y, из которых состоят восемь известных человеческих рецепторов P2Y (1,2,4,6 и 11-14) и остальное количество не относящихся к млекопитающим рецепторов, при этом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фосфорилированный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обладает сродством в основном с рецепторами P2Y2[64], и в меньшей степени с P2Y4, P2Y6 и P2Y14.</w:t>
      </w:r>
      <w:bookmarkStart w:id="13" w:name="refnotes:1:ref24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"refnotes:1:note24"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24)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13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Нервная система также представлена семью рецепторами P2X, казалось бы, не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связанными с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уридином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.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имеет свой собственный комплект рецепторов, на которые он может воздействовать, а именно рецепторы P2, где он оказывает большее влияние на P2Y2, P2Y4, P2Y6 и P2Y14.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Когда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не задействован в качестве питательной среды для синтеза фосфолипидов, он действует подобно новому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нейротрансмиттеру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с помощью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пуринэргических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рецепторов Рецепторы P2Y2 имеют структурные элементы, которые способствуют взаимодействию с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интегринами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 росту управляющих рецепторов, и активация данных рецепторов приводит к активации передачи сигнала фактора роста нервной ткани/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тропомиозин-рецепторной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киназы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A и является в основном нейропротективной.</w:t>
      </w:r>
      <w:bookmarkStart w:id="14" w:name="refnotes:1:ref25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"refnotes:1:note25"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25)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14"/>
      <w:proofErr w:type="gramEnd"/>
    </w:p>
    <w:p w:rsidR="00831648" w:rsidRPr="00E972A4" w:rsidRDefault="00E972A4" w:rsidP="00E972A4">
      <w:pPr>
        <w:shd w:val="clear" w:color="auto" w:fill="FFFFFF"/>
        <w:spacing w:after="213" w:line="240" w:lineRule="auto"/>
        <w:outlineLvl w:val="2"/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>Синаптогенез</w:t>
      </w:r>
      <w:proofErr w:type="spellEnd"/>
      <w:r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 xml:space="preserve">: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полезно влияет на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синаптические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функции за счет увеличения уровня мозгового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фосфатидилхолина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который является составляющей </w:t>
      </w:r>
      <w:r w:rsidR="00831648"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мембран дендритов.</w:t>
      </w:r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gram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Предполагается, что он приносит пользу людям, страдающим от ослабления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синаптической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функции или регуляции, как при болезни Альцгеймера, где ослабление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синаптической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функции является следствием обычных бета амилоид соединений, оказывающих токсическое воздействие на синапсы нейронов и дендритные шипики.</w:t>
      </w:r>
      <w:bookmarkStart w:id="15" w:name="refnotes:1:ref26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="00831648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"refnotes:1:note26"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="00831648"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26)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15"/>
      <w:r w:rsidR="00831648"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За счет обеспечения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фосфатидилхолина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</w:t>
      </w:r>
      <w:proofErr w:type="spellStart"/>
      <w:r w:rsidR="00831648"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уридин</w:t>
      </w:r>
      <w:proofErr w:type="spellEnd"/>
      <w:r w:rsidR="00831648"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 </w:t>
      </w:r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предположительно способствует образованию мембран и </w:t>
      </w:r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lastRenderedPageBreak/>
        <w:t xml:space="preserve">дендритов, которые могут </w:t>
      </w:r>
      <w:r w:rsidR="00831648"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содействовать </w:t>
      </w:r>
      <w:proofErr w:type="spellStart"/>
      <w:r w:rsidR="00831648"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синаптической</w:t>
      </w:r>
      <w:proofErr w:type="spellEnd"/>
      <w:r w:rsidR="00831648"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 функции</w:t>
      </w:r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.</w:t>
      </w:r>
      <w:proofErr w:type="gram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gram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Исследования, изучающие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синаптическую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конструкцию под действием приема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предпочитают рассматривать дендритные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шипики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что связано со сложностью количественной оценки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синаптической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функции самой по себе, а дендритные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шипики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представляют собой наиболее надежный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биомаркер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за счет того, что 90% дендритов формируют синапсис.</w:t>
      </w:r>
      <w:bookmarkStart w:id="16" w:name="refnotes:1:ref27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="00831648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"refnotes:1:note27"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="00831648"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27)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16"/>
      <w:r w:rsidR="00831648"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Кормление животных комбинацией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холина и жирных кислот омега-3 (из рыбьего жира) привело к росту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синаптического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образования и функции и</w:t>
      </w:r>
      <w:proofErr w:type="gramEnd"/>
      <w:r w:rsidR="00831648"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продемонстрировало улучшения у группы людей (n=221) с легкой болезнью Альцгеймера.</w:t>
      </w:r>
      <w:bookmarkStart w:id="17" w:name="refnotes:1:ref28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="00831648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"refnotes:1:note28"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="00831648"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28)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17"/>
    </w:p>
    <w:p w:rsidR="00831648" w:rsidRPr="00E972A4" w:rsidRDefault="00831648" w:rsidP="00E972A4">
      <w:pPr>
        <w:shd w:val="clear" w:color="auto" w:fill="FFFFFF"/>
        <w:spacing w:after="213" w:line="240" w:lineRule="auto"/>
        <w:outlineLvl w:val="2"/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>Рост аксонов</w:t>
      </w:r>
      <w:r w:rsidR="009A7010" w:rsidRPr="009A7010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 xml:space="preserve"> </w:t>
      </w:r>
      <w:r w:rsidR="009A7010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>и нервных волокон</w:t>
      </w:r>
      <w:r w:rsidR="00E972A4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 xml:space="preserve">: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Пурины и пиримидины увеличивают клеточную дифференцировку в нейронах</w:t>
      </w:r>
      <w:bookmarkStart w:id="18" w:name="refnotes:1:ref29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"refnotes:1:note29"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29)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18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при этом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приводит к росту нейронной дифференцировки и разрастанию за счет активации передачи сигнала фактора роста нервной ткани посредством его рецептора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тропомиозин-рецепторной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киназы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A(широко известной увеличением роста нейронов) благодаря воздействию на его собственный рецептор P2Y2.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Удаление рецептора P2Y2 препятствует соответствующей передаче сигнала фактора роста нервной ткани посредством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тропомиозин-рецепторной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киназы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A, при этом два рецептора воздействуют друг на друга как при коиммунопреципитации.</w:t>
      </w:r>
      <w:bookmarkStart w:id="19" w:name="refnotes:1:ref30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"refnotes:1:note30"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30)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19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В этом смысле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агонисты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P2Y2 повышают передачу сигнала фактора роста нервной ткани за счет увеличения разрастания нейронов благодаря чувствительности нейронов к фактору, это было обнаружено и в отношении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агониста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P2Y2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(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трифосфата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).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Активация рецептора P2Y2 способствует действию фактора роста нервной ткани посредством его собственного рецептора (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тропомиозин-рецепторной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киназы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A), и в конечном счете ведет к тому, что агонисты рецептора P2Y2 увеличивают вызванный фактором рост нейронов. 6 недель, но не 1 неделя, кормления 330мг/кг (1ммоль/кг)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стареющих крыс увеличило уровень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нейрофиламента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-70 (+82%) и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нейрофиламента-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M</w:t>
      </w:r>
      <w:proofErr w:type="spellEnd"/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(+121%), двух белков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цитоскелета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</w:t>
      </w:r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вовлеченных в рост аксонов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и использующихся в качестве биомаркеров</w:t>
      </w:r>
      <w:bookmarkStart w:id="20" w:name="refnotes:1:ref31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"refnotes:1:note31"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31)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20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что ранее было вызвано в лабораторных условиях фактором роста нервной ткани в дифференцированных нейронных клетках PC12 под действием </w:t>
      </w:r>
      <w:proofErr w:type="spellStart"/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уридина</w:t>
      </w:r>
      <w:proofErr w:type="spellEnd"/>
      <w:r w:rsidR="009A7010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, был выявлен рост аксонов</w:t>
      </w:r>
      <w:proofErr w:type="gramStart"/>
      <w:r w:rsidR="009A7010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 ,</w:t>
      </w:r>
      <w:proofErr w:type="gramEnd"/>
      <w:r w:rsidR="009A7010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 а так же быстрое восстановление поврежденной миелиновой оболочки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. Примечательно, но исследование в лабораторных условиях выявило, </w:t>
      </w:r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что </w:t>
      </w:r>
      <w:proofErr w:type="spellStart"/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уридин</w:t>
      </w:r>
      <w:proofErr w:type="spellEnd"/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 может действовать с помощью рецепт</w:t>
      </w:r>
      <w:r w:rsidR="009A7010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ора P2Y с целью регенерации поврежденных нервных окончаний</w:t>
      </w:r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.</w:t>
      </w:r>
    </w:p>
    <w:p w:rsidR="00831648" w:rsidRPr="00E972A4" w:rsidRDefault="00831648" w:rsidP="00E972A4">
      <w:pPr>
        <w:shd w:val="clear" w:color="auto" w:fill="FFFFFF"/>
        <w:spacing w:after="213" w:line="240" w:lineRule="auto"/>
        <w:outlineLvl w:val="2"/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>Катехоламин</w:t>
      </w:r>
      <w:r w:rsidR="00E972A4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 xml:space="preserve">: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Рацион стареющих крыс, обогащенный 2.5%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двунатриевого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(500мг/кг, либо 330мг/кг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при этом человеческий эквивалент составляет около 50мг/кг), не повлиял в состоянии покоя на уровень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допамина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в нейронных срезах крыс, но увеличил вызванное K+ </w:t>
      </w:r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высвобождение </w:t>
      </w:r>
      <w:proofErr w:type="spellStart"/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допамина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при этом 1 и 6 недель приема увеличили средний уровень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допамина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на 11.6-20.5% без разницы во временном снижении потенциала действия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при том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не оказывая влияния на концентрацию ДОФУК или ГВК.</w:t>
      </w:r>
      <w:bookmarkStart w:id="21" w:name="refnotes:1:ref32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"refnotes:1:note32"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32)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21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Прием </w:t>
      </w:r>
      <w:proofErr w:type="spellStart"/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уридина</w:t>
      </w:r>
      <w:proofErr w:type="spellEnd"/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 увеличивает уровень </w:t>
      </w:r>
      <w:proofErr w:type="spellStart"/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допамина</w:t>
      </w:r>
      <w:proofErr w:type="spellEnd"/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, выводимого из активированных нейронов, 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не оказывая значительного влияния на общий уровень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допамина</w:t>
      </w:r>
      <w:proofErr w:type="spellEnd"/>
    </w:p>
    <w:p w:rsidR="00831648" w:rsidRPr="00E972A4" w:rsidRDefault="00831648" w:rsidP="00E972A4">
      <w:pPr>
        <w:shd w:val="clear" w:color="auto" w:fill="FFFFFF"/>
        <w:spacing w:after="213" w:line="240" w:lineRule="auto"/>
        <w:outlineLvl w:val="2"/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>Болезнь Альцгеймера</w:t>
      </w:r>
      <w:r w:rsidR="00E972A4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 xml:space="preserve">: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может способствовать лечению болезни Альцгеймера за счет поддержания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синаптических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соединений, которые ослабевают при болезни Альцгеймера.</w:t>
      </w:r>
      <w:bookmarkStart w:id="22" w:name="refnotes:1:ref33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"refnotes:1:note33"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33)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22"/>
      <w:r w:rsidRPr="00831648">
        <w:rPr>
          <w:rFonts w:ascii="Times New Roman" w:eastAsia="Times New Roman" w:hAnsi="Times New Roman" w:cs="Times New Roman"/>
          <w:color w:val="474747"/>
          <w:sz w:val="21"/>
          <w:szCs w:val="21"/>
          <w:lang w:eastAsia="ru-RU"/>
        </w:rPr>
        <w:t> 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За счет разрастания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синапсиса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прием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может применяться в терапевтических целях при болезни Альцгеймера</w:t>
      </w:r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</w:t>
      </w:r>
      <w:r w:rsidR="00E972A4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.</w:t>
      </w:r>
      <w:proofErr w:type="gram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Одно исследование отметило значительное облегчение симптомов болезни Альцгеймера у крыс с ускоренным образованием β-амилоиды (и, тем самым, у предрасположенных к болезни Альцгеймера), но было в значительной степени запутано использованием других нутриентов для обеспечения действия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. </w:t>
      </w:r>
    </w:p>
    <w:p w:rsidR="00831648" w:rsidRPr="00E972A4" w:rsidRDefault="00831648" w:rsidP="00E972A4">
      <w:pPr>
        <w:shd w:val="clear" w:color="auto" w:fill="FFFFFF"/>
        <w:spacing w:after="213" w:line="240" w:lineRule="auto"/>
        <w:outlineLvl w:val="2"/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>Биполярное расстройство</w:t>
      </w:r>
      <w:r w:rsidR="00E972A4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 xml:space="preserve">: 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При 6-недельном приеме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в открытом исследовании </w:t>
      </w:r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биполярного расстройства у детей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было отмечено, что прием </w:t>
      </w:r>
      <w:r w:rsidR="00342926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причина 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был связан с облегчением симптомов депрессии по сравнению с исходными (со среднего значения 65.6 по шкале оценки детской депрессии до 27.2 с эффективностью в пределах недели); маниакальные симптомы не оценивались.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Триацетилуридин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(ТАУ) применялся в исследовании биполярного расстройства взрослых по 18г ежедневно в течение 6 недель, при этом было отмечено значительное облегчение симптомов депрессии.</w:t>
      </w:r>
    </w:p>
    <w:p w:rsidR="00831648" w:rsidRPr="00E972A4" w:rsidRDefault="00831648" w:rsidP="00E972A4">
      <w:pPr>
        <w:shd w:val="clear" w:color="auto" w:fill="FFFFFF"/>
        <w:spacing w:after="213" w:line="240" w:lineRule="auto"/>
        <w:outlineLvl w:val="2"/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>Сердечная ткань</w:t>
      </w:r>
      <w:r w:rsidR="00E972A4">
        <w:rPr>
          <w:rFonts w:ascii="Arial" w:eastAsia="Times New Roman" w:hAnsi="Arial" w:cs="Arial"/>
          <w:b/>
          <w:bCs/>
          <w:color w:val="474747"/>
          <w:sz w:val="24"/>
          <w:szCs w:val="24"/>
          <w:lang w:eastAsia="ru-RU"/>
        </w:rPr>
        <w:t xml:space="preserve">: </w:t>
      </w:r>
      <w:bookmarkStart w:id="23" w:name="_GoBack"/>
      <w:bookmarkEnd w:id="23"/>
      <w:proofErr w:type="gram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Уридин способен оказывать неотложный </w:t>
      </w:r>
      <w:proofErr w:type="spellStart"/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>кардиозащитный</w:t>
      </w:r>
      <w:proofErr w:type="spellEnd"/>
      <w:r w:rsidRPr="00342926">
        <w:rPr>
          <w:rFonts w:ascii="Arial" w:eastAsia="Times New Roman" w:hAnsi="Arial" w:cs="Arial"/>
          <w:b/>
          <w:color w:val="474747"/>
          <w:sz w:val="21"/>
          <w:szCs w:val="21"/>
          <w:lang w:eastAsia="ru-RU"/>
        </w:rPr>
        <w:t xml:space="preserve"> эффект при ишемии миокарда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, предварительная нагрузка которого ликвидируется блокированием </w:t>
      </w:r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lastRenderedPageBreak/>
        <w:t xml:space="preserve">калиевых каналов митохондрии (посредством 5-гидроксидеканоата); это означает, что предварительная нагрузка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уридина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 xml:space="preserve"> сохраняет уровень энергетических метаболитов (АТФ, креатин фосфат и </w:t>
      </w:r>
      <w:proofErr w:type="spellStart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уридин</w:t>
      </w:r>
      <w:proofErr w:type="spellEnd"/>
      <w:r w:rsidRPr="00831648">
        <w:rPr>
          <w:rFonts w:ascii="Arial" w:eastAsia="Times New Roman" w:hAnsi="Arial" w:cs="Arial"/>
          <w:color w:val="474747"/>
          <w:sz w:val="21"/>
          <w:szCs w:val="21"/>
          <w:lang w:eastAsia="ru-RU"/>
        </w:rPr>
        <w:t>) и в дальнейшем снижает липопероксидацию.</w:t>
      </w:r>
      <w:bookmarkStart w:id="24" w:name="refnotes:1:ref34"/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begin"/>
      </w:r>
      <w:r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instrText xml:space="preserve"> HYPERLINK "http://lifebio.wiki/%D1%83%D1%80%D0%B8%D0%B4%D0%B8%D0%BD" \l "refnotes:1:note34" </w:instrTex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separate"/>
      </w:r>
      <w:r w:rsidRPr="00831648">
        <w:rPr>
          <w:rFonts w:ascii="Arial" w:eastAsia="Times New Roman" w:hAnsi="Arial" w:cs="Arial"/>
          <w:color w:val="E98E0B"/>
          <w:sz w:val="17"/>
          <w:szCs w:val="17"/>
          <w:u w:val="single"/>
          <w:vertAlign w:val="superscript"/>
          <w:lang w:eastAsia="ru-RU"/>
        </w:rPr>
        <w:t>34)</w:t>
      </w:r>
      <w:r w:rsidR="00257F89" w:rsidRPr="00831648">
        <w:rPr>
          <w:rFonts w:ascii="Arial" w:eastAsia="Times New Roman" w:hAnsi="Arial" w:cs="Arial"/>
          <w:color w:val="474747"/>
          <w:sz w:val="17"/>
          <w:szCs w:val="17"/>
          <w:vertAlign w:val="superscript"/>
          <w:lang w:eastAsia="ru-RU"/>
        </w:rPr>
        <w:fldChar w:fldCharType="end"/>
      </w:r>
      <w:bookmarkEnd w:id="24"/>
      <w:r w:rsidR="00E972A4" w:rsidRPr="00831648">
        <w:rPr>
          <w:rFonts w:ascii="Arial" w:eastAsia="Times New Roman" w:hAnsi="Arial" w:cs="Arial"/>
          <w:color w:val="474747"/>
          <w:sz w:val="20"/>
          <w:szCs w:val="20"/>
          <w:lang w:eastAsia="ru-RU"/>
        </w:rPr>
        <w:t xml:space="preserve"> </w:t>
      </w:r>
      <w:proofErr w:type="gramEnd"/>
    </w:p>
    <w:p w:rsidR="00831648" w:rsidRPr="00831648" w:rsidRDefault="00831648" w:rsidP="00831648">
      <w:pPr>
        <w:shd w:val="clear" w:color="auto" w:fill="FFFFFF"/>
        <w:spacing w:after="240" w:line="240" w:lineRule="auto"/>
        <w:outlineLvl w:val="3"/>
        <w:rPr>
          <w:rFonts w:ascii="Arial" w:eastAsia="Times New Roman" w:hAnsi="Arial" w:cs="Arial"/>
          <w:b/>
          <w:bCs/>
          <w:color w:val="474747"/>
          <w:sz w:val="21"/>
          <w:szCs w:val="21"/>
          <w:lang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21"/>
          <w:szCs w:val="21"/>
          <w:lang w:eastAsia="ru-RU"/>
        </w:rPr>
        <w:t>Список использованной литературы:</w:t>
      </w:r>
    </w:p>
    <w:p w:rsidR="00831648" w:rsidRPr="00831648" w:rsidRDefault="00257F89" w:rsidP="00831648">
      <w:pPr>
        <w:shd w:val="clear" w:color="auto" w:fill="FFFFFF"/>
        <w:spacing w:after="48" w:line="240" w:lineRule="auto"/>
        <w:rPr>
          <w:rFonts w:ascii="Arial" w:eastAsia="Times New Roman" w:hAnsi="Arial" w:cs="Arial"/>
          <w:color w:val="474747"/>
          <w:sz w:val="21"/>
          <w:szCs w:val="21"/>
          <w:lang w:eastAsia="ru-RU"/>
        </w:rPr>
      </w:pPr>
      <w:r w:rsidRPr="00257F89">
        <w:rPr>
          <w:rFonts w:ascii="Arial" w:eastAsia="Times New Roman" w:hAnsi="Arial" w:cs="Arial"/>
          <w:color w:val="474747"/>
          <w:sz w:val="21"/>
          <w:szCs w:val="21"/>
          <w:lang w:eastAsia="ru-RU"/>
        </w:rPr>
        <w:pict>
          <v:rect id="_x0000_i1025" style="width:0;height:0" o:hrstd="t" o:hr="t" fillcolor="#a0a0a0" stroked="f"/>
        </w:pict>
      </w:r>
    </w:p>
    <w:p w:rsidR="00831648" w:rsidRPr="00342926" w:rsidRDefault="009A7010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eastAsia="ru-RU"/>
        </w:rPr>
        <w:t>1</w:t>
      </w:r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Almeida C, et al. Composition of beer by 1H NMR spectroscopy: effects of brewing site and date of production. J Agric Food Chem. (2006)</w:t>
      </w:r>
    </w:p>
    <w:bookmarkStart w:id="25" w:name="refnotes:1:note2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"refnotes:1:ref2"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2)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25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Thorell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L,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Sjöberg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LB,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Hernell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O. Nucleotides in human milk: sources and metabolism by the newborn infant.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Pediatr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Res. (1996)</w:t>
      </w:r>
    </w:p>
    <w:bookmarkStart w:id="26" w:name="refnotes:1:note3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"refnotes:1:ref3"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3)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26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Inokuchi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T, et al. Effects of allopurinol on beer-induced increases in plasma concentrations of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purine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bases and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uridine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. Nucleosides Nucleotides Nucleic Acids. (2008)</w:t>
      </w:r>
    </w:p>
    <w:bookmarkStart w:id="27" w:name="refnotes:1:note4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"refnotes:1:ref4"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4)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27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Shetlar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MD,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Hom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K,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Venditto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VJ.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Photohydrate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-Mediated Reactions of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Uridine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, 2'-Deoxyuridine and 2'-Deoxycytidine with Amines at Near Neutral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pH.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Photochem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Photobiol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. (2013)</w:t>
      </w:r>
    </w:p>
    <w:bookmarkStart w:id="28" w:name="refnotes:1:note5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"refnotes:1:ref5"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5)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28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Eells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JT,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Spector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R,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Huntoon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S. Nucleoside and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oxypurine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homeostasis in adult rabbit cerebrospinal fluid and plasma. J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Neurochem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. (1984)</w:t>
      </w:r>
    </w:p>
    <w:bookmarkStart w:id="29" w:name="refnotes:1:note6"/>
    <w:p w:rsidR="00831648" w:rsidRPr="009A7010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val="en-US" w:eastAsia="ru-RU"/>
        </w:rPr>
        <w:instrText xml:space="preserve"> HYPERLINK "http://lifebio.wiki/%D1%83%D1%80%D0%B8%D0%B4%D0%B8%D0%BD" \l "refnotes:1:ref6" </w:instrTex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separate"/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6</w:t>
      </w:r>
      <w:r w:rsidR="00831648" w:rsidRP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end"/>
      </w:r>
      <w:bookmarkEnd w:id="29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 Weinberg ME, et al. Enhanced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uridine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bioavailability following administration of a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triacetyluridine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-rich nutritional supplement. </w:t>
      </w:r>
      <w:proofErr w:type="spellStart"/>
      <w:proofErr w:type="gram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PLoS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One.</w:t>
      </w:r>
      <w:proofErr w:type="gram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(2011)</w:t>
      </w:r>
    </w:p>
    <w:bookmarkStart w:id="30" w:name="refnotes:1:note7"/>
    <w:p w:rsidR="00831648" w:rsidRPr="009A7010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"refnotes:1:ref7"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7)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30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 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Pizzorno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G, et al. Homeostatic control of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uridine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and the role of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uridine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phosphorylase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: a biological and clinical update. </w:t>
      </w:r>
      <w:proofErr w:type="spellStart"/>
      <w:proofErr w:type="gram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Biochim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Biophys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Acta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.</w:t>
      </w:r>
      <w:proofErr w:type="gram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(2002)</w:t>
      </w:r>
    </w:p>
    <w:bookmarkStart w:id="31" w:name="refnotes:1:note8"/>
    <w:p w:rsidR="00831648" w:rsidRPr="009A7010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val="en-US" w:eastAsia="ru-RU"/>
        </w:rPr>
        <w:instrText xml:space="preserve"> HYPERLINK "http://lifebio.wiki/%D1%83%D1%80%D0%B8%D0%B4%D0%B8%D0%BD" \l "refnotes:1:ref8" </w:instrTex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separate"/>
      </w:r>
      <w:r w:rsidR="00831648" w:rsidRP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val="en-US" w:eastAsia="ru-RU"/>
        </w:rPr>
        <w:t>8)</w: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end"/>
      </w:r>
      <w:bookmarkEnd w:id="31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 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Venhoff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N, et al.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Uridine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pharmacokinetics of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mitocnol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, a sugar cane extract. </w:t>
      </w:r>
      <w:proofErr w:type="gram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AIDS.</w:t>
      </w:r>
      <w:proofErr w:type="gram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(2005)</w:t>
      </w:r>
    </w:p>
    <w:bookmarkStart w:id="32" w:name="refnotes:1:note9"/>
    <w:p w:rsidR="009A7010" w:rsidRPr="009A7010" w:rsidRDefault="00257F89" w:rsidP="009A7010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val="en-US" w:eastAsia="ru-RU"/>
        </w:rPr>
        <w:instrText xml:space="preserve"> HYPERLINK "http://lifebio.wiki/%D1%83%D1%80%D0%B8%D0%B4%D0%B8%D0%BD" \l "refnotes:1:ref9" </w:instrTex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separate"/>
      </w:r>
      <w:proofErr w:type="gramStart"/>
      <w:r w:rsidR="00831648" w:rsidRP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val="en-US" w:eastAsia="ru-RU"/>
        </w:rPr>
        <w:t>9)</w: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end"/>
      </w:r>
      <w:bookmarkEnd w:id="32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 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Ashour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OM,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Naguib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FN, el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Kouni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MH.</w:t>
      </w:r>
      <w:proofErr w:type="gram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5-(m-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Benzyloxybenzyl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)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barbituric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acid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acyclonucleoside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, a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uridine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phosphorylase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inhibitor, and 2',3',5'-tri-O-acetyluridine, a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prodrug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of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uridine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, as modulators of plasma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uridine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concentration. </w:t>
      </w:r>
      <w:proofErr w:type="gram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Implications for chemotherapy.</w:t>
      </w:r>
      <w:proofErr w:type="gram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Biochem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Pharmacol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. (1996)</w:t>
      </w:r>
    </w:p>
    <w:p w:rsidR="009A7010" w:rsidRPr="009A7010" w:rsidRDefault="009A7010" w:rsidP="009A7010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</w:pPr>
      <w:r w:rsidRPr="009A7010">
        <w:rPr>
          <w:rFonts w:ascii="Arial" w:hAnsi="Arial" w:cs="Arial"/>
          <w:color w:val="ED7D31" w:themeColor="accent2"/>
          <w:sz w:val="18"/>
          <w:szCs w:val="18"/>
          <w:vertAlign w:val="superscript"/>
          <w:lang w:val="en-US"/>
        </w:rPr>
        <w:t>10)</w:t>
      </w:r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Kretschmar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C.,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Kaumeier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S.,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Haase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W. Medical treatment of alcoholic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polyneuropathy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. A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randomised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three-armed double-blind study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comparingefficacy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and tolerability of two vitamin B combinations and a nucleotide combination //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Fortschr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Med. 1996; 32: 439/53–443/57.</w:t>
      </w:r>
    </w:p>
    <w:p w:rsidR="009A7010" w:rsidRPr="009A7010" w:rsidRDefault="009A7010" w:rsidP="009A70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  <w:lang w:val="en-US"/>
        </w:rPr>
      </w:pPr>
      <w:r w:rsidRPr="009A7010">
        <w:rPr>
          <w:rFonts w:ascii="Arial" w:hAnsi="Arial" w:cs="Arial"/>
          <w:color w:val="ED7D31" w:themeColor="accent2"/>
          <w:sz w:val="18"/>
          <w:szCs w:val="18"/>
          <w:vertAlign w:val="superscript"/>
          <w:lang w:val="en-US"/>
        </w:rPr>
        <w:t>11)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Gallai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V.,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Mazzotta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G.,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Montesi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S.,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Sarchielli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P., Del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Gatto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F. Effects of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uridine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in the treatment of diabetic neuropathy: an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electrophysiologicalstudy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//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Acta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Neurol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Scand. Italy. </w:t>
      </w:r>
      <w:proofErr w:type="gram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1999; 86: 3–7.</w:t>
      </w:r>
      <w:proofErr w:type="gramEnd"/>
    </w:p>
    <w:p w:rsidR="009A7010" w:rsidRPr="009A7010" w:rsidRDefault="009A7010" w:rsidP="009A70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  <w:lang w:val="en-US"/>
        </w:rPr>
      </w:pPr>
      <w:r w:rsidRPr="009A7010">
        <w:rPr>
          <w:rFonts w:ascii="Arial" w:hAnsi="Arial" w:cs="Arial"/>
          <w:color w:val="ED7D31" w:themeColor="accent2"/>
          <w:sz w:val="18"/>
          <w:szCs w:val="18"/>
          <w:vertAlign w:val="superscript"/>
        </w:rPr>
        <w:t>12)</w:t>
      </w:r>
      <w:r w:rsidRPr="009A7010">
        <w:rPr>
          <w:rFonts w:ascii="Arial" w:hAnsi="Arial" w:cs="Arial"/>
          <w:color w:val="ED7D31" w:themeColor="accent2"/>
          <w:sz w:val="18"/>
          <w:szCs w:val="18"/>
          <w:vertAlign w:val="superscript"/>
          <w:lang w:val="en-US"/>
        </w:rPr>
        <w:t>.</w:t>
      </w:r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De Mora E.,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Monfort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R.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Estudio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multicentrico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de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una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asociacion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de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nucleotidos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en el 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tratamiento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</w:t>
      </w:r>
      <w:proofErr w:type="gram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del</w:t>
      </w:r>
      <w:proofErr w:type="gram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dolor neuromuscular //</w:t>
      </w:r>
      <w:proofErr w:type="spellStart"/>
      <w:r w:rsidRPr="009A7010">
        <w:rPr>
          <w:rFonts w:ascii="Arial" w:hAnsi="Arial" w:cs="Arial"/>
          <w:color w:val="231F20"/>
          <w:sz w:val="20"/>
          <w:szCs w:val="20"/>
          <w:lang w:val="en-US"/>
        </w:rPr>
        <w:t>Phronesis</w:t>
      </w:r>
      <w:proofErr w:type="spellEnd"/>
      <w:r w:rsidRPr="009A7010">
        <w:rPr>
          <w:rFonts w:ascii="Arial" w:hAnsi="Arial" w:cs="Arial"/>
          <w:color w:val="231F20"/>
          <w:sz w:val="20"/>
          <w:szCs w:val="20"/>
          <w:lang w:val="en-US"/>
        </w:rPr>
        <w:t xml:space="preserve"> 1991; 12(1): 46–50.</w:t>
      </w:r>
    </w:p>
    <w:bookmarkStart w:id="33" w:name="refnotes:1:note10"/>
    <w:p w:rsidR="00831648" w:rsidRPr="009A7010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val="en-US" w:eastAsia="ru-RU"/>
        </w:rPr>
        <w:instrText xml:space="preserve"> HYPERLINK "http://lifebio.wiki/%D1%83%D1%80%D0%B8%D0%B4%D0%B8%D0%BD" \l "refnotes:1:ref10" </w:instrTex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separate"/>
      </w:r>
      <w:r w:rsidR="00831648" w:rsidRP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val="en-US" w:eastAsia="ru-RU"/>
        </w:rPr>
        <w:t>1</w:t>
      </w:r>
      <w:r w:rsid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eastAsia="ru-RU"/>
        </w:rPr>
        <w:t>3</w:t>
      </w:r>
      <w:r w:rsidR="00831648" w:rsidRP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end"/>
      </w:r>
      <w:bookmarkEnd w:id="33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 Connolly GP,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Duley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JA.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Uridine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and its nucleotides: biological actions, therapeutic potentials. Trends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Pharmacol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Sci. (1999)</w:t>
      </w:r>
    </w:p>
    <w:bookmarkStart w:id="34" w:name="refnotes:1:note11"/>
    <w:p w:rsidR="00831648" w:rsidRPr="009A7010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val="en-US" w:eastAsia="ru-RU"/>
        </w:rPr>
        <w:instrText xml:space="preserve"> HYPERLINK "http://lifebio.wiki/%D1%83%D1%80%D0%B8%D0%B4%D0%B8%D0%BD" \l "refnotes:1:ref11" </w:instrTex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separate"/>
      </w:r>
      <w:r w:rsidR="00831648" w:rsidRP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val="en-US" w:eastAsia="ru-RU"/>
        </w:rPr>
        <w:t>1</w:t>
      </w:r>
      <w:r w:rsid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eastAsia="ru-RU"/>
        </w:rPr>
        <w:t>4</w:t>
      </w:r>
      <w:r w:rsidR="00831648" w:rsidRP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end"/>
      </w:r>
      <w:bookmarkEnd w:id="34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 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Cornford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EM,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Oldendorf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WH. Independent blood-brain barrier transport systems for nucleic acid precursors. </w:t>
      </w:r>
      <w:proofErr w:type="spellStart"/>
      <w:proofErr w:type="gram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Biochim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Biophys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Acta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.</w:t>
      </w:r>
      <w:proofErr w:type="gram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(1975)</w:t>
      </w:r>
    </w:p>
    <w:bookmarkStart w:id="35" w:name="refnotes:1:note12"/>
    <w:p w:rsidR="00831648" w:rsidRPr="009A7010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val="en-US" w:eastAsia="ru-RU"/>
        </w:rPr>
        <w:instrText xml:space="preserve"> HYPERLINK "http://lifebio.wiki/%D1%83%D1%80%D0%B8%D0%B4%D0%B8%D0%BD" \l "refnotes:1:ref12" </w:instrTex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separate"/>
      </w:r>
      <w:r w:rsidR="00831648" w:rsidRP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val="en-US" w:eastAsia="ru-RU"/>
        </w:rPr>
        <w:t>1</w:t>
      </w:r>
      <w:r w:rsid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eastAsia="ru-RU"/>
        </w:rPr>
        <w:t>5</w:t>
      </w:r>
      <w:r w:rsidR="00831648" w:rsidRP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end"/>
      </w:r>
      <w:bookmarkEnd w:id="35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 Baldwin SA, et al. </w:t>
      </w:r>
      <w:proofErr w:type="gram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The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equilibrative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nucleoside transporter family, SLC29.</w:t>
      </w:r>
      <w:proofErr w:type="gram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Pflugers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Arch. (2004)</w:t>
      </w:r>
    </w:p>
    <w:bookmarkStart w:id="36" w:name="refnotes:1:note13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val="en-US" w:eastAsia="ru-RU"/>
        </w:rPr>
        <w:instrText xml:space="preserve"> HYPERLINK "http://lifebio.wiki/%D1%83%D1%80%D0%B8%D0%B4%D0%B8%D0%BD" \l "refnotes:1:ref13" </w:instrTex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separate"/>
      </w:r>
      <w:r w:rsid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val="en-US" w:eastAsia="ru-RU"/>
        </w:rPr>
        <w:t>1</w:t>
      </w:r>
      <w:r w:rsidR="009A7010" w:rsidRP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val="en-US" w:eastAsia="ru-RU"/>
        </w:rPr>
        <w:t>6</w:t>
      </w:r>
      <w:r w:rsidR="00831648" w:rsidRPr="009A7010">
        <w:rPr>
          <w:rFonts w:ascii="Arial" w:eastAsia="Times New Roman" w:hAnsi="Arial" w:cs="Arial"/>
          <w:b/>
          <w:bCs/>
          <w:color w:val="E98E0B"/>
          <w:sz w:val="20"/>
          <w:szCs w:val="20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20"/>
          <w:szCs w:val="20"/>
          <w:vertAlign w:val="superscript"/>
          <w:lang w:eastAsia="ru-RU"/>
        </w:rPr>
        <w:fldChar w:fldCharType="end"/>
      </w:r>
      <w:bookmarkEnd w:id="36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 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Podgorska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M,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Kocbuch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K, </w:t>
      </w:r>
      <w:proofErr w:type="spellStart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>Pawelczyk</w:t>
      </w:r>
      <w:proofErr w:type="spellEnd"/>
      <w:r w:rsidR="00831648" w:rsidRPr="009A7010">
        <w:rPr>
          <w:rFonts w:ascii="Arial" w:eastAsia="Times New Roman" w:hAnsi="Arial" w:cs="Arial"/>
          <w:color w:val="474747"/>
          <w:sz w:val="20"/>
          <w:szCs w:val="20"/>
          <w:lang w:val="en-US" w:eastAsia="ru-RU"/>
        </w:rPr>
        <w:t xml:space="preserve"> T. 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Recent advances in studies on biochemical and structural properties of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equilibrative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and concentrative nucleoside transporters.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Acta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Biochim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Pol. (2005)</w:t>
      </w:r>
    </w:p>
    <w:bookmarkStart w:id="37" w:name="refnotes:1:note14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"refnotes:1:ref14"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9A7010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17</w:t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37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Fagone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P,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Jackowski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S.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Phosphatidylcholine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and the CDP-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choline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cycle.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Biochim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Biophys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Acta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. (2013)</w:t>
      </w:r>
    </w:p>
    <w:bookmarkStart w:id="38" w:name="refnotes:1:note15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"refnotes:1:ref15"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1</w:t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eastAsia="ru-RU"/>
        </w:rPr>
        <w:t>8</w:t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38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Wu G, Vance DE. Choline kinase and its function.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Biochem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Cell Biol. (2010)</w:t>
      </w:r>
    </w:p>
    <w:bookmarkStart w:id="39" w:name="refnotes:1:note16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"refnotes:1:ref16"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1</w:t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eastAsia="ru-RU"/>
        </w:rPr>
        <w:t>9</w:t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39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Millington WR,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Wurtman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RJ. Choline administration elevates brain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phosphorylcholine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concentrations. J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Neurochem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. (1982)</w:t>
      </w:r>
    </w:p>
    <w:bookmarkStart w:id="40" w:name="refnotes:1:note17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"refnotes:1:ref17"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9A7010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20</w:t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40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Kent C. Regulatory enzymes of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phosphatidylcholine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biosynthesis: a personal perspective.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Biochim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Biophys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Acta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. (2005)</w:t>
      </w:r>
    </w:p>
    <w:bookmarkStart w:id="41" w:name="refnotes:1:note18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"refnotes:1:ref18"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9A7010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21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41"/>
      <w:r w:rsidR="009A7010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t>)</w:t>
      </w:r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Baburina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I,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Jackowski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S. Cellular responses to excess phospholipid. J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Biol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Chem. (1999)</w:t>
      </w:r>
    </w:p>
    <w:p w:rsidR="00831648" w:rsidRPr="00342926" w:rsidRDefault="009A7010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bookmarkStart w:id="42" w:name="refnotes:1:note19"/>
      <w:r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eastAsia="ru-RU"/>
        </w:rPr>
        <w:t>22</w:t>
      </w:r>
      <w:bookmarkEnd w:id="42"/>
      <w:r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eastAsia="ru-RU"/>
        </w:rPr>
        <w:t>)</w:t>
      </w:r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Araki W,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Wurtman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RJ. Control of membrane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phosphatidylcholine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biosynthesis by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diacylglycerol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levels in neuronal cells undergoing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neurite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outgrowth. Proc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Natl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Acad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Sci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U S A. (1997)</w:t>
      </w:r>
    </w:p>
    <w:bookmarkStart w:id="43" w:name="refnotes:1:note20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"refnotes:1:ref20"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9A7010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23)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43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G-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Coviella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IL,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Wurtman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RJ. Enhancement by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cytidine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of membrane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phospholipid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synthesis. J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Neurochem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. (1992)</w:t>
      </w:r>
    </w:p>
    <w:bookmarkStart w:id="44" w:name="refnotes:1:note21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"refnotes:1:ref21"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2</w:t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eastAsia="ru-RU"/>
        </w:rPr>
        <w:t>4</w:t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44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Cansev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M, et al. Oral uridine-5'-monophosphate (UMP) increases brain CDP-choline levels in gerbils. Brain Res. (2005)</w:t>
      </w:r>
    </w:p>
    <w:bookmarkStart w:id="45" w:name="refnotes:1:note22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"refnotes:1:ref22"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2</w:t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eastAsia="ru-RU"/>
        </w:rPr>
        <w:t>5</w:t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45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Babb SM, et al. Chronic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citicoline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increases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phosphodiesters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in the brains of healthy older subjects: an in vivo phosphorus magnetic resonance spectroscopy study. Psychopharmacology (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Berl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). (2002)</w:t>
      </w:r>
    </w:p>
    <w:bookmarkStart w:id="46" w:name="refnotes:1:note23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"refnotes:1:ref23"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2</w:t>
      </w:r>
      <w:r w:rsidR="009A7010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6</w:t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46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Burnstock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G. Physiology and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pathophysiology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of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purinergic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neurotransmission.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Physiol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Rev. (2007)</w:t>
      </w:r>
    </w:p>
    <w:bookmarkStart w:id="47" w:name="refnotes:1:note24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"refnotes:1:ref24"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2</w:t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eastAsia="ru-RU"/>
        </w:rPr>
        <w:t>7</w:t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47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Harden TK, et al.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Signalling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and pharmacological properties of the P2Y receptor.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Acta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Physiol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(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Oxf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). (2010)</w:t>
      </w:r>
    </w:p>
    <w:bookmarkStart w:id="48" w:name="refnotes:1:note25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begin"/>
      </w:r>
      <w:r w:rsidR="00831648"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val="en-US" w:eastAsia="ru-RU"/>
        </w:rPr>
        <w:instrText xml:space="preserve"> HYPERLINK "http://lifebio.wiki/%D1%83%D1%80%D0%B8%D0%B4%D0%B8%D0%BD" \l "refnotes:1:ref25" </w:instrTex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separate"/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2</w:t>
      </w:r>
      <w:r w:rsid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eastAsia="ru-RU"/>
        </w:rPr>
        <w:t>8</w:t>
      </w:r>
      <w:r w:rsidR="00831648" w:rsidRPr="009A7010">
        <w:rPr>
          <w:rFonts w:ascii="Arial" w:eastAsia="Times New Roman" w:hAnsi="Arial" w:cs="Arial"/>
          <w:b/>
          <w:bCs/>
          <w:color w:val="E98E0B"/>
          <w:sz w:val="18"/>
          <w:szCs w:val="18"/>
          <w:u w:val="single"/>
          <w:vertAlign w:val="superscript"/>
          <w:lang w:val="en-US" w:eastAsia="ru-RU"/>
        </w:rPr>
        <w:t>)</w:t>
      </w:r>
      <w:r w:rsidRPr="009A7010">
        <w:rPr>
          <w:rFonts w:ascii="Arial" w:eastAsia="Times New Roman" w:hAnsi="Arial" w:cs="Arial"/>
          <w:b/>
          <w:bCs/>
          <w:color w:val="474747"/>
          <w:sz w:val="18"/>
          <w:szCs w:val="18"/>
          <w:vertAlign w:val="superscript"/>
          <w:lang w:eastAsia="ru-RU"/>
        </w:rPr>
        <w:fldChar w:fldCharType="end"/>
      </w:r>
      <w:bookmarkEnd w:id="48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Weisman GA, et al.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Neuroprotective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roles of the </w:t>
      </w:r>
      <w:proofErr w:type="gram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P2Y(</w:t>
      </w:r>
      <w:proofErr w:type="gram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2) receptor.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Purinergic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Signal. (2012)</w:t>
      </w:r>
    </w:p>
    <w:bookmarkStart w:id="49" w:name="refnotes:1:note26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lastRenderedPageBreak/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"refnotes:1:ref26"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9A7010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2</w:t>
      </w:r>
      <w:r w:rsidR="009A7010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eastAsia="ru-RU"/>
        </w:rPr>
        <w:t>9</w:t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49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Spires-Jones TL, et al. Impaired spine stability underlies plaque-related spine loss in an Alzheimer's disease mouse model. Am J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Pathol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. (2007)</w:t>
      </w:r>
    </w:p>
    <w:bookmarkStart w:id="50" w:name="refnotes:1:note27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"refnotes:1:ref27"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9A7010" w:rsidRPr="009A7010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30</w:t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50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Harms KJ,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Dunaevsky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A. Dendritic spine plasticity: looking beyond development. Brain Res. (2007)</w:t>
      </w:r>
    </w:p>
    <w:bookmarkStart w:id="51" w:name="refnotes:1:note28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"refnotes:1:ref28"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9A7010" w:rsidRPr="009A7010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31</w:t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51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The efficacy of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Souvenaid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in mild Alzheimer’s disease: a randomized, controlled, double-blind, parallel group, multi-centre, multi-country clinical trial</w:t>
      </w:r>
    </w:p>
    <w:bookmarkStart w:id="52" w:name="refnotes:1:note29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"refnotes:1:ref29"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9A7010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eastAsia="ru-RU"/>
        </w:rPr>
        <w:t>32</w:t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52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Neary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JT, et al. Trophic actions of extracellular nucleotides and nucleosides on glial and neuronal cells. Trends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Neurosci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. (1996)</w:t>
      </w:r>
    </w:p>
    <w:bookmarkStart w:id="53" w:name="refnotes:1:note30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"refnotes:1:ref30"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9A7010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3</w:t>
      </w:r>
      <w:r w:rsidR="009A7010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eastAsia="ru-RU"/>
        </w:rPr>
        <w:t>3</w:t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53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Chuang HH, et al.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Bradykinin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and nerve growth factor release the capsaicin receptor from </w:t>
      </w:r>
      <w:proofErr w:type="spellStart"/>
      <w:proofErr w:type="gram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PtdIns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(</w:t>
      </w:r>
      <w:proofErr w:type="gram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4,5)P2-mediated inhibition. Nature. (2001)</w:t>
      </w:r>
    </w:p>
    <w:bookmarkStart w:id="54" w:name="refnotes:1:note31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"refnotes:1:ref31"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31)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54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Lee V,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Trojanowski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JQ,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Schlaepfer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WW. Induction of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neurofilament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triplet proteins in PC12 cells by nerve growth factor. Brain Res. (1982)</w:t>
      </w:r>
    </w:p>
    <w:bookmarkStart w:id="55" w:name="refnotes:1:note32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"refnotes:1:ref32"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32)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55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Broersen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LM, et al. A Specific Multi-Nutrient Diet Reduces Alzheimer-Like Pathology in Young Adult A</w:t>
      </w:r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eastAsia="ru-RU"/>
        </w:rPr>
        <w:t>β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PPswe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/PS1dE9 Mice. J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Alzheimers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Dis. (2012)</w:t>
      </w:r>
    </w:p>
    <w:bookmarkStart w:id="56" w:name="refnotes:1:note33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"refnotes:1:ref33"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33)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56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Jensen JE, et al.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Triacetyluridine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(TAU) decreases depressive symptoms and increases brain pH in bipolar patients. Exp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Clin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Psychopharmacol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. (2008)</w:t>
      </w:r>
    </w:p>
    <w:bookmarkStart w:id="57" w:name="refnotes:1:note34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"refnotes:1:ref34"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34)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57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Krylova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IB, et al. Effect of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uridine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on energy metabolism, LPO, and antioxidant system in the myocardium under conditions of acute coronary insufficiency. Bull Exp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Biol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Med. (2012)</w:t>
      </w:r>
    </w:p>
    <w:bookmarkStart w:id="58" w:name="refnotes:1:note35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"refnotes:1:ref35"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35)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58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Nolan D, et al. Mitochondrial DNA depletion and morphologic changes in adipocytes associated with nucleoside reverse transcriptase inhibitor therapy. AIDS. (2003)</w:t>
      </w:r>
    </w:p>
    <w:bookmarkStart w:id="59" w:name="refnotes:1:note36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"refnotes:1:ref36"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36)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59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McComsey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GA, et al. Mitochondrial function, inflammation, fat and bone in HIV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lipoatrophy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: randomized study of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uridine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supplementation or switch to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tenofovir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Antivir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Ther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. (2012)</w:t>
      </w:r>
    </w:p>
    <w:bookmarkStart w:id="60" w:name="refnotes:1:note37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"refnotes:1:ref37"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37)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60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Choi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JH,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Ji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YG, Lee DH.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Uridine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Triphosphate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Increases Proliferation of Human Cancerous Pancreatic Duct Epithelial Cells by Activating P2Y2 Receptor. Pancreas. (2013)</w:t>
      </w:r>
    </w:p>
    <w:bookmarkStart w:id="61" w:name="refnotes:1:note38"/>
    <w:p w:rsidR="00831648" w:rsidRPr="00342926" w:rsidRDefault="00257F89" w:rsidP="00831648">
      <w:pPr>
        <w:shd w:val="clear" w:color="auto" w:fill="FFFFFF"/>
        <w:spacing w:after="48"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342926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"refnotes:1:ref38"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831648" w:rsidRPr="00342926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38)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61"/>
      <w:r w:rsidR="00831648" w:rsidRPr="00342926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Silver AF, Chase HB. The incorporation of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tritiated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uridine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in hair germ and dermal papilla during dormancy (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telogen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) and activation (early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anagen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). J Invest </w:t>
      </w:r>
      <w:proofErr w:type="spellStart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Dermatol</w:t>
      </w:r>
      <w:proofErr w:type="spellEnd"/>
      <w:r w:rsidR="00831648" w:rsidRPr="00342926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. (1977)</w:t>
      </w:r>
    </w:p>
    <w:bookmarkStart w:id="62" w:name="refnotes:1:note39"/>
    <w:p w:rsidR="00831648" w:rsidRPr="00831648" w:rsidRDefault="00257F89" w:rsidP="00831648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474747"/>
          <w:sz w:val="19"/>
          <w:szCs w:val="19"/>
          <w:lang w:eastAsia="ru-RU"/>
        </w:rPr>
      </w:pP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begin"/>
      </w:r>
      <w:r w:rsidR="00831648"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val="en-US" w:eastAsia="ru-RU"/>
        </w:rPr>
        <w:instrText xml:space="preserve"> HYPERLINK "http://lifebio.wiki/%D1%83%D1%80%D0%B8%D0%B4%D0%B8%D0%BD" \l "refnotes:1:ref39" </w:instrTex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separate"/>
      </w:r>
      <w:r w:rsidR="00831648" w:rsidRPr="00831648">
        <w:rPr>
          <w:rFonts w:ascii="Arial" w:eastAsia="Times New Roman" w:hAnsi="Arial" w:cs="Arial"/>
          <w:b/>
          <w:bCs/>
          <w:color w:val="E98E0B"/>
          <w:sz w:val="15"/>
          <w:szCs w:val="15"/>
          <w:u w:val="single"/>
          <w:vertAlign w:val="superscript"/>
          <w:lang w:val="en-US" w:eastAsia="ru-RU"/>
        </w:rPr>
        <w:t>39)</w:t>
      </w:r>
      <w:r w:rsidRPr="00831648">
        <w:rPr>
          <w:rFonts w:ascii="Arial" w:eastAsia="Times New Roman" w:hAnsi="Arial" w:cs="Arial"/>
          <w:b/>
          <w:bCs/>
          <w:color w:val="474747"/>
          <w:sz w:val="15"/>
          <w:szCs w:val="15"/>
          <w:vertAlign w:val="superscript"/>
          <w:lang w:eastAsia="ru-RU"/>
        </w:rPr>
        <w:fldChar w:fldCharType="end"/>
      </w:r>
      <w:bookmarkEnd w:id="62"/>
      <w:r w:rsidR="00831648" w:rsidRPr="00831648">
        <w:rPr>
          <w:rFonts w:ascii="Times New Roman" w:eastAsia="Times New Roman" w:hAnsi="Times New Roman" w:cs="Times New Roman"/>
          <w:color w:val="474747"/>
          <w:sz w:val="19"/>
          <w:szCs w:val="19"/>
          <w:lang w:val="en-US" w:eastAsia="ru-RU"/>
        </w:rPr>
        <w:t> 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Greig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AV,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Linge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C,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Burnstock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G.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Purinergic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receptors are part of a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signalling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system for proliferation and differentiation in distinct cell lineages in human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>anagen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val="en-US" w:eastAsia="ru-RU"/>
        </w:rPr>
        <w:t xml:space="preserve"> hair follicles.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eastAsia="ru-RU"/>
        </w:rPr>
        <w:t>Purinergic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eastAsia="ru-RU"/>
        </w:rPr>
        <w:t xml:space="preserve"> </w:t>
      </w:r>
      <w:proofErr w:type="spellStart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eastAsia="ru-RU"/>
        </w:rPr>
        <w:t>Signal</w:t>
      </w:r>
      <w:proofErr w:type="spellEnd"/>
      <w:r w:rsidR="00831648" w:rsidRPr="00831648">
        <w:rPr>
          <w:rFonts w:ascii="Arial" w:eastAsia="Times New Roman" w:hAnsi="Arial" w:cs="Arial"/>
          <w:color w:val="474747"/>
          <w:sz w:val="19"/>
          <w:szCs w:val="19"/>
          <w:lang w:eastAsia="ru-RU"/>
        </w:rPr>
        <w:t>. (2008)</w:t>
      </w:r>
    </w:p>
    <w:p w:rsidR="003228F8" w:rsidRDefault="003228F8"/>
    <w:sectPr w:rsidR="003228F8" w:rsidSect="00257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66964"/>
    <w:multiLevelType w:val="multilevel"/>
    <w:tmpl w:val="F4BA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845A73"/>
    <w:multiLevelType w:val="multilevel"/>
    <w:tmpl w:val="8E48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F40305"/>
    <w:multiLevelType w:val="multilevel"/>
    <w:tmpl w:val="241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077D20"/>
    <w:multiLevelType w:val="multilevel"/>
    <w:tmpl w:val="34D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777EC6"/>
    <w:multiLevelType w:val="multilevel"/>
    <w:tmpl w:val="9878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FF4E34"/>
    <w:multiLevelType w:val="multilevel"/>
    <w:tmpl w:val="E65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4F0204"/>
    <w:multiLevelType w:val="multilevel"/>
    <w:tmpl w:val="139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D1520A"/>
    <w:multiLevelType w:val="multilevel"/>
    <w:tmpl w:val="3246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CA1D9E"/>
    <w:multiLevelType w:val="multilevel"/>
    <w:tmpl w:val="C3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DB477D"/>
    <w:multiLevelType w:val="multilevel"/>
    <w:tmpl w:val="74E6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251AF8"/>
    <w:multiLevelType w:val="multilevel"/>
    <w:tmpl w:val="9A6A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5"/>
  </w:num>
  <w:num w:numId="5">
    <w:abstractNumId w:val="6"/>
  </w:num>
  <w:num w:numId="6">
    <w:abstractNumId w:val="10"/>
  </w:num>
  <w:num w:numId="7">
    <w:abstractNumId w:val="2"/>
  </w:num>
  <w:num w:numId="8">
    <w:abstractNumId w:val="7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proofState w:spelling="clean" w:grammar="clean"/>
  <w:defaultTabStop w:val="708"/>
  <w:characterSpacingControl w:val="doNotCompress"/>
  <w:compat/>
  <w:rsids>
    <w:rsidRoot w:val="00831648"/>
    <w:rsid w:val="00257F89"/>
    <w:rsid w:val="003228F8"/>
    <w:rsid w:val="00342926"/>
    <w:rsid w:val="00831648"/>
    <w:rsid w:val="009A7010"/>
    <w:rsid w:val="00E972A4"/>
    <w:rsid w:val="00F532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9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4" w:space="0" w:color="D3D3D3"/>
                    <w:right w:val="none" w:sz="0" w:space="0" w:color="auto"/>
                  </w:divBdr>
                  <w:divsChild>
                    <w:div w:id="15879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534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729213">
                          <w:marLeft w:val="0"/>
                          <w:marRight w:val="0"/>
                          <w:marTop w:val="48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12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4442453">
                  <w:marLeft w:val="0"/>
                  <w:marRight w:val="0"/>
                  <w:marTop w:val="6825"/>
                  <w:marBottom w:val="33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0429">
                      <w:marLeft w:val="-3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0532">
                          <w:marLeft w:val="3840"/>
                          <w:marRight w:val="38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477944">
                              <w:marLeft w:val="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842700">
                                  <w:marLeft w:val="336"/>
                                  <w:marRight w:val="-345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single" w:sz="6" w:space="0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5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82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33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17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99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36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27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18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13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87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492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458306">
                                      <w:marLeft w:val="0"/>
                                      <w:marRight w:val="336"/>
                                      <w:marTop w:val="120"/>
                                      <w:marBottom w:val="19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4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2" w:color="CCCCCC"/>
                                            <w:left w:val="single" w:sz="6" w:space="2" w:color="CCCCCC"/>
                                            <w:bottom w:val="single" w:sz="6" w:space="2" w:color="CCCCCC"/>
                                            <w:right w:val="single" w:sz="6" w:space="2" w:color="CCCCCC"/>
                                          </w:divBdr>
                                        </w:div>
                                      </w:divsChild>
                                    </w:div>
                                    <w:div w:id="14461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64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47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97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362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92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4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76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6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55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36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1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36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50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46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459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3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25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4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88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36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28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09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34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98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18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64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82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42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57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81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09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0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37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795">
                                      <w:marLeft w:val="0"/>
                                      <w:marRight w:val="0"/>
                                      <w:marTop w:val="0"/>
                                      <w:marBottom w:val="750"/>
                                      <w:divBdr>
                                        <w:top w:val="none" w:sz="0" w:space="0" w:color="auto"/>
                                        <w:left w:val="single" w:sz="36" w:space="15" w:color="FDBF3F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495819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55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596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99782">
                                      <w:marLeft w:val="0"/>
                                      <w:marRight w:val="13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538674">
                                          <w:marLeft w:val="0"/>
                                          <w:marRight w:val="75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4882797">
                                      <w:marLeft w:val="0"/>
                                      <w:marRight w:val="10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763992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4650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904886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81676">
                                          <w:marLeft w:val="825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9545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2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E9E9E9"/>
                                                    <w:left w:val="single" w:sz="6" w:space="0" w:color="E9E9E9"/>
                                                    <w:bottom w:val="single" w:sz="6" w:space="0" w:color="E9E9E9"/>
                                                    <w:right w:val="single" w:sz="6" w:space="0" w:color="E9E9E9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13588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633845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490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0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01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9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19363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54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55667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279905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566502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846129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609698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665576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4061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227438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835371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043770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004536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485078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397039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972341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18960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707673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528143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772229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945393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265634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708143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713620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134396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753113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460359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586715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306723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757720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433095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436224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939665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383849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285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8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0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3737</Words>
  <Characters>21305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XTreme.ws</cp:lastModifiedBy>
  <cp:revision>4</cp:revision>
  <dcterms:created xsi:type="dcterms:W3CDTF">2017-03-26T12:33:00Z</dcterms:created>
  <dcterms:modified xsi:type="dcterms:W3CDTF">2017-11-17T11:06:00Z</dcterms:modified>
</cp:coreProperties>
</file>