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2C76" w14:textId="1305B937" w:rsidR="002F0AC9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Earlier in paper:</w:t>
      </w:r>
    </w:p>
    <w:p w14:paraId="17C7D52E" w14:textId="052D465E" w:rsidR="002F0AC9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10 Hz data was used to identify curtains with the following two criteria: a high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spatial correlation, and spiky.</w:t>
      </w:r>
    </w:p>
    <w:p w14:paraId="33888D52" w14:textId="63EFE4E6" w:rsidR="002F0AC9" w:rsidRPr="002F0AC9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F0AC9">
        <w:rPr>
          <w:rFonts w:ascii="Times New Roman" w:hAnsi="Times New Roman" w:cs="Times New Roman"/>
          <w:sz w:val="20"/>
          <w:szCs w:val="20"/>
          <w:highlight w:val="yellow"/>
        </w:rPr>
        <w:t>What does spiky mean?</w:t>
      </w:r>
    </w:p>
    <w:p w14:paraId="78CF9945" w14:textId="70325F78" w:rsidR="002F0AC9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7857761" w14:textId="3F44ED58" w:rsidR="00FE1A45" w:rsidRDefault="005C394B" w:rsidP="002F0A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narrow are curtains?</w:t>
      </w:r>
    </w:p>
    <w:p w14:paraId="52520F8D" w14:textId="38794CF2" w:rsidR="005C394B" w:rsidRDefault="005C394B" w:rsidP="002F0A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C394B">
        <w:rPr>
          <w:rFonts w:ascii="Times New Roman" w:hAnsi="Times New Roman" w:cs="Times New Roman"/>
          <w:sz w:val="20"/>
          <w:szCs w:val="20"/>
          <w:highlight w:val="yellow"/>
        </w:rPr>
        <w:t>What is the spatial extent of curtains?</w:t>
      </w:r>
    </w:p>
    <w:p w14:paraId="6AC56680" w14:textId="77777777" w:rsidR="005C394B" w:rsidRDefault="005C394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D3AC3E0" w14:textId="0C78AF2A" w:rsidR="00FE1A45" w:rsidRDefault="00FE1A45" w:rsidP="00FE1A4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AC6 dosimeters lack the necessary pitch angle resolution to di</w:t>
      </w:r>
      <w:r w:rsidR="00BD0584"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 xml:space="preserve">erentiate between drifting and precipitating electrons to test the Blake and O'Brien (2016) hypothesis. Instead we use AC6's position and Earth's asymmetric magnetic </w:t>
      </w:r>
      <w:r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eld to di</w:t>
      </w:r>
      <w:r>
        <w:rPr>
          <w:rFonts w:ascii="Times New Roman" w:hAnsi="Times New Roman" w:cs="Times New Roman"/>
          <w:sz w:val="20"/>
          <w:szCs w:val="20"/>
        </w:rPr>
        <w:t>ff</w:t>
      </w:r>
      <w:r>
        <w:rPr>
          <w:rFonts w:ascii="Times New Roman" w:hAnsi="Times New Roman" w:cs="Times New Roman"/>
          <w:sz w:val="20"/>
          <w:szCs w:val="20"/>
        </w:rPr>
        <w:t xml:space="preserve">erentiate particles that are either </w:t>
      </w:r>
      <w:proofErr w:type="gramStart"/>
      <w:r>
        <w:rPr>
          <w:rFonts w:ascii="Times New Roman" w:hAnsi="Times New Roman" w:cs="Times New Roman"/>
          <w:sz w:val="20"/>
          <w:szCs w:val="20"/>
        </w:rPr>
        <w:t>nearly-trapped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drift loss cone, and particles immediately lost in the bounce loss cone (BLC). These concepts are described below.</w:t>
      </w:r>
    </w:p>
    <w:p w14:paraId="142011BC" w14:textId="41F68901" w:rsidR="00FE1A45" w:rsidRPr="00FE1A45" w:rsidRDefault="00FE1A45" w:rsidP="00FE1A45">
      <w:pPr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</w:rPr>
      </w:pPr>
      <w:r w:rsidRPr="00FE1A45">
        <w:rPr>
          <w:rFonts w:ascii="Times New Roman" w:hAnsi="Times New Roman" w:cs="Times New Roman"/>
          <w:sz w:val="20"/>
          <w:szCs w:val="20"/>
          <w:highlight w:val="yellow"/>
        </w:rPr>
        <w:t>I don’t think this belongs in your introduction. Should be in instrumentation or methods section.</w:t>
      </w:r>
    </w:p>
    <w:p w14:paraId="19A19DB7" w14:textId="77777777" w:rsidR="00FE1A45" w:rsidRDefault="00FE1A45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348B6E1" w14:textId="4E8B9CD3" w:rsidR="00FE1A45" w:rsidRDefault="00FE1A45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4.2</w:t>
      </w:r>
    </w:p>
    <w:p w14:paraId="3C02CA49" w14:textId="441DF020" w:rsidR="00FE1A45" w:rsidRPr="005C394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FE1A4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Since AC6 lacks pitch angle resolution that allows easy differentiation between drifting and precipitating electrons (</w:t>
      </w:r>
      <w:r w:rsid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see </w:t>
      </w:r>
      <w:r w:rsidRPr="00FE1A4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Section </w:t>
      </w:r>
      <w:r w:rsidR="00FE1A45" w:rsidRPr="00FE1A4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2), we must use other methods of determining which particles are precipitating. </w:t>
      </w:r>
      <w:r w:rsid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One common method of distinguishing between precipitating, drifting, and trapped particles is using particle measurements in conjunction with the location of the South Atlantic Anomaly (SAA). </w:t>
      </w:r>
    </w:p>
    <w:p w14:paraId="13DC4AB4" w14:textId="77777777" w:rsidR="00FE1A45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As mentioned in the introduction, AC6 lacks pitch angle resolution that would a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l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low it to easy d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iff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erentiate between drifting and precipitating curtain electrons.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Fortunately</w:t>
      </w:r>
      <w:proofErr w:type="gramEnd"/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</w:t>
      </w:r>
      <w:r w:rsidRPr="00FE1A45">
        <w:rPr>
          <w:rFonts w:ascii="Times New Roman" w:hAnsi="Times New Roman" w:cs="Times New Roman"/>
          <w:strike/>
          <w:color w:val="000000"/>
          <w:sz w:val="10"/>
          <w:szCs w:val="10"/>
        </w:rPr>
        <w:t xml:space="preserve">142 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we can use the South Atlantic Anomaly (SAA) and AC6's location in LEO to differentiate between the two possibilities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</w:p>
    <w:p w14:paraId="4B3F1D43" w14:textId="77777777" w:rsidR="00FE1A45" w:rsidRDefault="00FE1A45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8E76774" w14:textId="6370724A" w:rsidR="00F5153B" w:rsidRDefault="00F5153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SAA is a region of relatively weaker magnetic field strength in the South Atlantic Ocean, caused by the tilt and offset of the Earth’s magnetic dipole.</w:t>
      </w:r>
    </w:p>
    <w:p w14:paraId="2AD048B6" w14:textId="40F79FAD" w:rsidR="00F5153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Earth's magnetic </w:t>
      </w:r>
      <w:r w:rsidR="00FE1A45"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fi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eld is spatially shifted towards Singapore </w:t>
      </w:r>
      <w:r w:rsidR="00FE1A45" w:rsidRPr="00F5153B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(from where?)</w:t>
      </w:r>
      <w:r w:rsidR="00FE1A45"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which creates a region</w:t>
      </w:r>
      <w:r w:rsidRPr="00F5153B">
        <w:rPr>
          <w:rFonts w:ascii="Times New Roman" w:hAnsi="Times New Roman" w:cs="Times New Roman"/>
          <w:strike/>
          <w:color w:val="000000"/>
          <w:sz w:val="10"/>
          <w:szCs w:val="10"/>
        </w:rPr>
        <w:t xml:space="preserve"> 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of weaker magnetic </w:t>
      </w:r>
      <w:r w:rsidR="00FE1A45"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fi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eld in the South Atlantic Ocean called the South Atlantic Anomaly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Most particles observed in LEO are </w:t>
      </w:r>
      <w:proofErr w:type="spellStart"/>
      <w:r w:rsidR="00FE1A45">
        <w:rPr>
          <w:rFonts w:ascii="Times New Roman" w:hAnsi="Times New Roman" w:cs="Times New Roman"/>
          <w:color w:val="000000"/>
          <w:sz w:val="20"/>
          <w:szCs w:val="20"/>
        </w:rPr>
        <w:t>quasi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barely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-trapped: they bounce and drift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 xml:space="preserve"> (&amp;</w:t>
      </w:r>
      <w:r w:rsidR="00F5153B"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gyrate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around the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Earth until they reach the SAA. </w:t>
      </w:r>
      <w:proofErr w:type="spellStart"/>
      <w:r w:rsidR="00FE1A45" w:rsidRPr="00FE1A4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Within</w:t>
      </w:r>
      <w:r w:rsidRPr="00FE1A45">
        <w:rPr>
          <w:rFonts w:ascii="Times New Roman" w:hAnsi="Times New Roman" w:cs="Times New Roman"/>
          <w:strike/>
          <w:color w:val="000000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SAA</w:t>
      </w:r>
      <w:r w:rsidR="00FE1A45" w:rsidRPr="00FE1A4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weaker magnetic </w:t>
      </w:r>
      <w:r w:rsidR="00FE1A45">
        <w:rPr>
          <w:rFonts w:ascii="Times New Roman" w:hAnsi="Times New Roman" w:cs="Times New Roman"/>
          <w:color w:val="00000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eld strength </w:t>
      </w:r>
      <w:r w:rsidR="0000488B" w:rsidRPr="0000488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can</w:t>
      </w:r>
      <w:r w:rsidR="000048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lower</w:t>
      </w:r>
      <w:r w:rsidRPr="0000488B">
        <w:rPr>
          <w:rFonts w:ascii="Times New Roman" w:hAnsi="Times New Roman" w:cs="Times New Roman"/>
          <w:strike/>
          <w:color w:val="000000"/>
          <w:sz w:val="20"/>
          <w:szCs w:val="20"/>
        </w:rPr>
        <w:t>s</w:t>
      </w:r>
      <w:proofErr w:type="gramEnd"/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electron's mirror point altitude into the atmosphere</w:t>
      </w:r>
      <w:r w:rsidR="00F5153B"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collisions with 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the atmosphere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5153B"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atmospheric ions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are more numerous and the particle is lost. </w:t>
      </w:r>
    </w:p>
    <w:p w14:paraId="07AAB835" w14:textId="77777777" w:rsidR="00F5153B" w:rsidRDefault="00F5153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D9CCAE0" w14:textId="0CED8488" w:rsidR="00F5153B" w:rsidRDefault="00F5153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Particles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have pitch angles in the drift loss cone will precipitate within one drift period (often within the SAA) </w:t>
      </w:r>
    </w:p>
    <w:p w14:paraId="288C6B60" w14:textId="31E8833B" w:rsidR="00FE1A45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that drift and are lost in the</w:t>
      </w:r>
      <w:r w:rsidRPr="00F5153B">
        <w:rPr>
          <w:rFonts w:ascii="Times New Roman" w:hAnsi="Times New Roman" w:cs="Times New Roman"/>
          <w:strike/>
          <w:color w:val="000000"/>
          <w:sz w:val="10"/>
          <w:szCs w:val="10"/>
        </w:rPr>
        <w:t xml:space="preserve"> 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SAA have pitch angles in the drift loss cone. </w:t>
      </w:r>
      <w:r>
        <w:rPr>
          <w:rFonts w:ascii="Times New Roman" w:hAnsi="Times New Roman" w:cs="Times New Roman"/>
          <w:color w:val="000000"/>
          <w:sz w:val="20"/>
          <w:szCs w:val="20"/>
        </w:rPr>
        <w:t>Particles with smaller pitch angles that are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lost in the atmosphere within one bounce are in the bounce loss cone.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5153B"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What is a common loss cone size?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Traditionally, we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</w:t>
      </w:r>
      <w:r w:rsidR="00FE1A45">
        <w:rPr>
          <w:rFonts w:ascii="Times New Roman" w:hAnsi="Times New Roman" w:cs="Times New Roman"/>
          <w:color w:val="00000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sz w:val="20"/>
          <w:szCs w:val="20"/>
        </w:rPr>
        <w:t>ne a particle with a mirror point altitude at or below 100 km to be in the BLC.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5153B"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Also define stably trapped. Not relevant, per se, but it is one of these populations.</w:t>
      </w:r>
    </w:p>
    <w:p w14:paraId="533D03C9" w14:textId="77777777" w:rsidR="00FE1A45" w:rsidRDefault="00FE1A45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4EA2A9B" w14:textId="473720B4" w:rsidR="005C449E" w:rsidRPr="005C449E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Without pitch angle resolution</w:t>
      </w:r>
      <w:r w:rsidR="00F5153B" w:rsidRPr="00F5153B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,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AC6 </w:t>
      </w:r>
      <w:proofErr w:type="spellStart"/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can not</w:t>
      </w:r>
      <w:proofErr w:type="spellEnd"/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easily di</w:t>
      </w:r>
      <w:r w:rsidR="00FE1A45"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ff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erentiate between trapped,</w:t>
      </w:r>
      <w:r w:rsidRPr="00F5153B">
        <w:rPr>
          <w:rFonts w:ascii="Times New Roman" w:hAnsi="Times New Roman" w:cs="Times New Roman"/>
          <w:strike/>
          <w:color w:val="000000"/>
          <w:sz w:val="10"/>
          <w:szCs w:val="10"/>
        </w:rPr>
        <w:t xml:space="preserve"> 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drift loss cone, and bounce loss cone electrons</w:t>
      </w:r>
      <w:r w:rsidR="00F5153B"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(</w:t>
      </w:r>
      <w:r w:rsidR="00F5153B" w:rsidRPr="00F5153B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You already said this)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 xml:space="preserve">Within </w:t>
      </w:r>
      <w:r w:rsidRPr="00F5153B">
        <w:rPr>
          <w:rFonts w:ascii="Times New Roman" w:hAnsi="Times New Roman" w:cs="Times New Roman"/>
          <w:strike/>
          <w:color w:val="000000"/>
          <w:sz w:val="20"/>
          <w:szCs w:val="20"/>
        </w:rPr>
        <w:t>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SAA, AC6 observes a combination of trapped, drift loss cone, and bounce loss cone electrons</w:t>
      </w:r>
      <w:r w:rsidR="00F515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5153B"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(tease out more. You just said in the last paragraph that within the SAA particles are lost. Are they sometimes not?)</w:t>
      </w:r>
      <w:r w:rsidRPr="00F5153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region magnetically conjugate to the SAA in the North Atlantic, AC6 only observes particles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BLC.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Too much hand holding or </w:t>
      </w:r>
      <w:r w:rsidRPr="005C449E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appropriate</w:t>
      </w:r>
      <w:r>
        <w:rPr>
          <w:rFonts w:ascii="Times New Roman" w:hAnsi="Times New Roman" w:cs="Times New Roman"/>
          <w:color w:val="FF0000"/>
          <w:sz w:val="20"/>
          <w:szCs w:val="20"/>
        </w:rPr>
        <w:t>?</w:t>
      </w:r>
      <w:r w:rsidR="005C449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C449E" w:rsidRPr="005C449E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By nature, an electron that is observed by AC6 either precipitates during that bounce or mirrors at or below the spacecraft. If a particle is observed in LEO magnetically conjugate to the SAA, its mirror point will be low in the atmosphere within the SAA and be lost.</w:t>
      </w:r>
    </w:p>
    <w:p w14:paraId="52569E0F" w14:textId="77777777" w:rsidR="005C449E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C449E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If an electron </w:t>
      </w:r>
      <w:r w:rsidRPr="005C449E">
        <w:rPr>
          <w:rFonts w:ascii="Times New Roman" w:hAnsi="Times New Roman" w:cs="Times New Roman"/>
          <w:strike/>
          <w:color w:val="FF0000"/>
          <w:sz w:val="20"/>
          <w:szCs w:val="20"/>
          <w:highlight w:val="yellow"/>
        </w:rPr>
        <w:t>makes</w:t>
      </w:r>
      <w:r w:rsidRPr="005C449E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it to AC6's altitude, it can be in the local loss cone and precipitate in the local hemisphere. Alternatively, the electron will mirror at or below AC6 and gyrate to the conjugate mirror point</w:t>
      </w:r>
      <w:r w:rsidRPr="005C449E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</w:t>
      </w:r>
      <w:r w:rsidRPr="005C449E">
        <w:rPr>
          <w:rFonts w:ascii="Times New Roman" w:hAnsi="Times New Roman" w:cs="Times New Roman"/>
          <w:strike/>
          <w:color w:val="FF0000"/>
          <w:sz w:val="20"/>
          <w:szCs w:val="20"/>
        </w:rPr>
        <w:t>in the SAA where the mirror point is deep in the atmosphere or below sea level.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Therefore, any precipitation observed in the </w:t>
      </w:r>
      <w:r w:rsidRPr="005C449E">
        <w:rPr>
          <w:rFonts w:ascii="Times New Roman" w:hAnsi="Times New Roman" w:cs="Times New Roman"/>
          <w:strike/>
          <w:color w:val="FF0000"/>
          <w:sz w:val="20"/>
          <w:szCs w:val="20"/>
        </w:rPr>
        <w:t>BLC regio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5C449E" w:rsidRPr="005C449E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call it something else</w:t>
      </w:r>
      <w:r w:rsidR="005C449E" w:rsidRPr="005C44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in the North Atlantic must rapidly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precipitate. </w:t>
      </w:r>
    </w:p>
    <w:p w14:paraId="29D4F5D4" w14:textId="77777777" w:rsidR="005C449E" w:rsidRDefault="005C449E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5A29BD4C" w14:textId="6E5877A5" w:rsidR="005C449E" w:rsidRDefault="005C449E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C449E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P:</w:t>
      </w:r>
      <w:r w:rsidRPr="005C44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F0AC9" w:rsidRPr="005C449E">
        <w:rPr>
          <w:rFonts w:ascii="Times New Roman" w:hAnsi="Times New Roman" w:cs="Times New Roman"/>
          <w:strike/>
          <w:color w:val="000000"/>
          <w:sz w:val="20"/>
          <w:szCs w:val="20"/>
        </w:rPr>
        <w:t>Lastly,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outside of the SAA and its conjugate point, AC6 will observe electrons in both the drift and bounce loss cones.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We estimated the BLC region for locally-mirroring electrons in the North Atlantic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Ocean using the IRBEM-Lib magnetic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eld library and the Olson-</w:t>
      </w:r>
      <w:proofErr w:type="spellStart"/>
      <w:r w:rsidR="002F0AC9"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tzer</w:t>
      </w:r>
      <w:proofErr w:type="spellEnd"/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magnetic 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eld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model (</w:t>
      </w:r>
      <w:proofErr w:type="spellStart"/>
      <w:r w:rsidR="002F0AC9">
        <w:rPr>
          <w:rFonts w:ascii="Times New Roman" w:hAnsi="Times New Roman" w:cs="Times New Roman"/>
          <w:color w:val="000000"/>
          <w:sz w:val="20"/>
          <w:szCs w:val="20"/>
        </w:rPr>
        <w:t>Boscher</w:t>
      </w:r>
      <w:proofErr w:type="spellEnd"/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et al., 2012; Olson &amp; </w:t>
      </w:r>
      <w:proofErr w:type="spellStart"/>
      <w:r w:rsidR="002F0AC9"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tzer</w:t>
      </w:r>
      <w:proofErr w:type="spellEnd"/>
      <w:r w:rsidR="002F0AC9">
        <w:rPr>
          <w:rFonts w:ascii="Times New Roman" w:hAnsi="Times New Roman" w:cs="Times New Roman"/>
          <w:color w:val="000000"/>
          <w:sz w:val="20"/>
          <w:szCs w:val="20"/>
        </w:rPr>
        <w:t>, 1982). We de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ned a latitude-longitude grid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spanning the North Atlantic</w:t>
      </w:r>
      <w:r w:rsidR="002F0AC9" w:rsidRPr="005C449E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,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at </w:t>
      </w:r>
      <w:proofErr w:type="gramStart"/>
      <w:r w:rsidR="002F0AC9">
        <w:rPr>
          <w:rFonts w:ascii="Times New Roman" w:hAnsi="Times New Roman" w:cs="Times New Roman"/>
          <w:color w:val="000000"/>
          <w:sz w:val="20"/>
          <w:szCs w:val="20"/>
        </w:rPr>
        <w:t>700 kilometer</w:t>
      </w:r>
      <w:proofErr w:type="gramEnd"/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altitude </w:t>
      </w:r>
      <w:r w:rsidR="002F0AC9" w:rsidRPr="005C449E">
        <w:rPr>
          <w:rFonts w:ascii="Times New Roman" w:hAnsi="Times New Roman" w:cs="Times New Roman"/>
          <w:strike/>
          <w:color w:val="000000"/>
          <w:sz w:val="20"/>
          <w:szCs w:val="20"/>
        </w:rPr>
        <w:t>that is</w:t>
      </w:r>
      <w:r w:rsidR="00BD0584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typical for AC6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(a </w:t>
      </w:r>
      <w:r w:rsidR="002F0AC9"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typical </w:t>
      </w:r>
      <w:r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altitude </w:t>
      </w:r>
      <w:r w:rsidR="002F0AC9"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for AC6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, and estimated the local magnetic 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eld strength. For each latitude-longitude point we traced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the magnetic 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eld line to the</w:t>
      </w:r>
      <w:r w:rsidR="002F0AC9" w:rsidRPr="0000488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SAA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0488B" w:rsidRPr="0000488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southern hemisphere</w:t>
      </w:r>
      <w:r w:rsidR="000048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and found the conjugate mirror point altitude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not all mag field lines connect to </w:t>
      </w:r>
      <w:proofErr w:type="spellStart"/>
      <w:r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saa</w:t>
      </w:r>
      <w:proofErr w:type="spellEnd"/>
      <w:r w:rsidR="002F0AC9">
        <w:rPr>
          <w:rFonts w:ascii="Times New Roman" w:hAnsi="Times New Roman" w:cs="Times New Roman"/>
          <w:color w:val="000000"/>
          <w:sz w:val="20"/>
          <w:szCs w:val="20"/>
        </w:rPr>
        <w:t>. If the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conjugate mirror point is at or below 100 kilometers, the latitude-longitude grid point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is in the bounce loss cone and the particle is likely lost. Furthermore, a more rigorous</w:t>
      </w:r>
      <w:r w:rsidR="002F0AC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bounce loss cone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lastRenderedPageBreak/>
        <w:t>criterion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</w:t>
      </w:r>
      <w:r w:rsidR="002F0AC9" w:rsidRPr="005C449E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is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if the conjugate mirror point altitude is below sea level. In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this case</w:t>
      </w:r>
      <w:r w:rsidRPr="005C449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,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the electron is de</w:t>
      </w:r>
      <w:r>
        <w:rPr>
          <w:rFonts w:ascii="Times New Roman" w:hAnsi="Times New Roman" w:cs="Times New Roman"/>
          <w:color w:val="000000"/>
          <w:sz w:val="20"/>
          <w:szCs w:val="20"/>
        </w:rPr>
        <w:t>fi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nitely lost. </w:t>
      </w:r>
    </w:p>
    <w:p w14:paraId="473832DB" w14:textId="66EFC556" w:rsidR="005C394B" w:rsidRDefault="005C394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Since AC6 </w:t>
      </w:r>
      <w:r w:rsidR="0000488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can </w:t>
      </w:r>
      <w:r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measure locally-mirroring electrons in the North Atlantic, the spacecraft altitude estimates the upper bound mirror point of this population.</w:t>
      </w:r>
    </w:p>
    <w:p w14:paraId="71B2E1A8" w14:textId="1D8D0CFE" w:rsidR="005C394B" w:rsidRPr="005C394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Since we are considering locally-mirroring electron</w:t>
      </w:r>
    </w:p>
    <w:p w14:paraId="2B00932D" w14:textId="577D0197" w:rsidR="005C449E" w:rsidRPr="005C394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at AC6's altitude in the North Atlantic,</w:t>
      </w:r>
      <w:r w:rsidR="005C449E"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this estimate is the upper bound mirror</w:t>
      </w:r>
      <w:r w:rsidRPr="005C394B">
        <w:rPr>
          <w:rFonts w:ascii="Times New Roman" w:hAnsi="Times New Roman" w:cs="Times New Roman"/>
          <w:strike/>
          <w:color w:val="FF0000"/>
          <w:sz w:val="20"/>
          <w:szCs w:val="20"/>
        </w:rPr>
        <w:t xml:space="preserve"> 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point altitude. </w:t>
      </w:r>
    </w:p>
    <w:p w14:paraId="5DA4C429" w14:textId="0B0B1B2B" w:rsidR="0010726A" w:rsidRPr="005C449E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BLC region estimated 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by this method</w:t>
      </w:r>
      <w:r w:rsidR="005C39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here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closely matches the BLC region shown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Comess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et al. (2013, Figure 1) and Dietrich et al. (2010, Figure 3). Furthermore, we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repeated the same analysis using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Tsyganenko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 model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Tsyganenko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1989)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which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yielded similar boundaries.</w:t>
      </w:r>
    </w:p>
    <w:p w14:paraId="34C02C6C" w14:textId="4B74F437" w:rsidR="002F0AC9" w:rsidRDefault="002F0AC9" w:rsidP="002F0AC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60C9B8AC" w14:textId="4C74CDA5" w:rsidR="002F0AC9" w:rsidRDefault="002F0AC9" w:rsidP="002F0AC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5.3</w:t>
      </w:r>
    </w:p>
    <w:p w14:paraId="1AAEBA39" w14:textId="4A40A247" w:rsidR="005C394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Figure 5a shows a map of </w:t>
      </w:r>
      <w:r w:rsidR="0000488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the northern 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portion of</w:t>
      </w:r>
      <w:r w:rsidR="005C39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BLC region in the North Atlantic. The solid blue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line is the northern </w:t>
      </w:r>
      <w:r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boundary where a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n electron that mirrors at 700 km locally will mirror at &lt;100 km in the SAA.</w:t>
      </w:r>
    </w:p>
    <w:p w14:paraId="09A05FD9" w14:textId="76D62A51" w:rsidR="005C394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locally-</w:t>
      </w:r>
      <w:proofErr w:type="spellStart"/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mirror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  <w:highlight w:val="yellow"/>
        </w:rPr>
        <w:t>r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ing</w:t>
      </w:r>
      <w:proofErr w:type="spellEnd"/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electron observed at 700 kilometers will mirror at 100 kilometers in the SAA.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Immediately south of the solid blue line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SAA mirror altitude rapidly decreases towards, and below, sea level. The dashed blue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line is the boundary where the SAA mirror point altitude is at sea level. For reference,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AC6 takes about 30 seconds to move between the solid and dashed blue curves. 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What is below the dashed blue line?</w:t>
      </w:r>
      <w:r w:rsidR="005C39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two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dotted black curves in Fig. 5a bound the outer radiation belt, de</w:t>
      </w:r>
      <w:r w:rsidR="005C394B">
        <w:rPr>
          <w:rFonts w:ascii="Times New Roman" w:hAnsi="Times New Roman" w:cs="Times New Roman"/>
          <w:color w:val="000000"/>
          <w:sz w:val="20"/>
          <w:szCs w:val="20"/>
        </w:rPr>
        <w:t>fi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ned </w:t>
      </w:r>
      <w:r w:rsidR="005C394B"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as L=4-8.</w:t>
      </w:r>
    </w:p>
    <w:p w14:paraId="6D6B5CC9" w14:textId="77777777" w:rsidR="005C394B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between L shells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of 4 and 8.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DC51BBB" w14:textId="77777777" w:rsidR="005C394B" w:rsidRDefault="005C394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54426A9" w14:textId="32F3C209" w:rsidR="005C394B" w:rsidRDefault="005C394B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P: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>We found 36 curtains that were observed inside the BLC region. Figure 5b-e shows</w:t>
      </w:r>
      <w:r w:rsidR="002F0A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C394B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4 examples with time-shifted</w:t>
      </w:r>
    </w:p>
    <w:p w14:paraId="3802146D" w14:textId="6C351541" w:rsidR="002F0AC9" w:rsidRPr="002F0AC9" w:rsidRDefault="002F0AC9" w:rsidP="002F0A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the shifted time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series plots</w:t>
      </w:r>
      <w:r w:rsidR="00EE5BE1" w:rsidRPr="00EE5BE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C394B">
        <w:rPr>
          <w:rFonts w:ascii="Times New Roman" w:hAnsi="Times New Roman" w:cs="Times New Roman"/>
          <w:strike/>
          <w:color w:val="000000"/>
          <w:sz w:val="20"/>
          <w:szCs w:val="20"/>
        </w:rPr>
        <w:t>for 4 examples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E5BE1" w:rsidRPr="00EE5BE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along</w:t>
      </w:r>
      <w:r w:rsidR="00EE5B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with the AC6 in-track lag, L and MLT </w:t>
      </w:r>
      <w:r w:rsidRPr="00EE5BE1">
        <w:rPr>
          <w:rFonts w:ascii="Times New Roman" w:hAnsi="Times New Roman" w:cs="Times New Roman"/>
          <w:strike/>
          <w:color w:val="000000"/>
          <w:sz w:val="20"/>
          <w:szCs w:val="20"/>
        </w:rPr>
        <w:t>during the observations annotated</w:t>
      </w:r>
      <w:r>
        <w:rPr>
          <w:rFonts w:ascii="Times New Roman" w:hAnsi="Times New Roman" w:cs="Times New Roman"/>
          <w:color w:val="000000"/>
          <w:sz w:val="20"/>
          <w:szCs w:val="20"/>
        </w:rPr>
        <w:t>. The AC6 locations where these curtains were observed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are shown in Fig. 5a with red stars and the corresponding panel labels. </w:t>
      </w:r>
      <w:r w:rsidRPr="00EE5BE1">
        <w:rPr>
          <w:rFonts w:ascii="Times New Roman" w:hAnsi="Times New Roman" w:cs="Times New Roman"/>
          <w:strike/>
          <w:color w:val="FF0000"/>
          <w:sz w:val="20"/>
          <w:szCs w:val="20"/>
        </w:rPr>
        <w:t>Move the rest</w:t>
      </w:r>
      <w:r w:rsidRPr="00EE5BE1">
        <w:rPr>
          <w:rFonts w:ascii="Times New Roman" w:hAnsi="Times New Roman" w:cs="Times New Roman"/>
          <w:strike/>
          <w:color w:val="000000"/>
          <w:sz w:val="20"/>
          <w:szCs w:val="20"/>
        </w:rPr>
        <w:t xml:space="preserve"> </w:t>
      </w:r>
      <w:r w:rsidRPr="00EE5BE1">
        <w:rPr>
          <w:rFonts w:ascii="Times New Roman" w:hAnsi="Times New Roman" w:cs="Times New Roman"/>
          <w:strike/>
          <w:color w:val="FF0000"/>
          <w:sz w:val="20"/>
          <w:szCs w:val="20"/>
        </w:rPr>
        <w:t>of the P to the discussion?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curtains shown in Fig. 5c and e were observed near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sea level SAA mirror altitude curve thus they were not drifting and were precipitating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much as 6 seconds as shown in Fig. 5e. The curtain precipitation persisted for multiple _ 1:5 second bounce periods of 30 keV electrons in this region.</w:t>
      </w:r>
    </w:p>
    <w:sectPr w:rsidR="002F0AC9" w:rsidRPr="002F0AC9" w:rsidSect="00E8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C9"/>
    <w:rsid w:val="0000488B"/>
    <w:rsid w:val="002F0AC9"/>
    <w:rsid w:val="0050077C"/>
    <w:rsid w:val="005A7E27"/>
    <w:rsid w:val="005C394B"/>
    <w:rsid w:val="005C449E"/>
    <w:rsid w:val="00BD0584"/>
    <w:rsid w:val="00CB4192"/>
    <w:rsid w:val="00CB644B"/>
    <w:rsid w:val="00D338FF"/>
    <w:rsid w:val="00E81FFF"/>
    <w:rsid w:val="00EE5BE1"/>
    <w:rsid w:val="00F5153B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CAD7"/>
  <w15:chartTrackingRefBased/>
  <w15:docId w15:val="{205FB0CC-589C-044C-94A4-02C4F55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Greeley, Ashley (GSFC-672.0)[UNIVERSITIES SPACE RESEARCH ASSOCIATION]</dc:creator>
  <cp:keywords/>
  <dc:description/>
  <cp:lastModifiedBy>Greeley, Ashley (GSFC-672.0)[UNIVERSITIES SPACE RESEARCH ASSOCIATION]</cp:lastModifiedBy>
  <cp:revision>1</cp:revision>
  <dcterms:created xsi:type="dcterms:W3CDTF">2020-04-27T18:38:00Z</dcterms:created>
  <dcterms:modified xsi:type="dcterms:W3CDTF">2020-04-27T20:28:00Z</dcterms:modified>
</cp:coreProperties>
</file>