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w:t>
      </w:r>
      <w:r>
        <w:rPr>
          <w:rFonts w:eastAsia="Noto Serif CJK SC" w:cs="Lohit Devanagari"/>
          <w:color w:val="auto"/>
          <w:kern w:val="2"/>
          <w:sz w:val="24"/>
          <w:szCs w:val="24"/>
          <w:lang w:val="en-US" w:eastAsia="zh-CN" w:bidi="hi-IN"/>
        </w:rPr>
        <w:t xml:space="preserve">this </w:t>
      </w:r>
      <w:r>
        <w:rPr>
          <w:rFonts w:eastAsia="Noto Serif CJK SC" w:cs="Lohit Devanagari"/>
          <w:color w:val="auto"/>
          <w:kern w:val="2"/>
          <w:sz w:val="24"/>
          <w:szCs w:val="24"/>
          <w:lang w:val="en-US" w:eastAsia="zh-CN" w:bidi="hi-IN"/>
        </w:rPr>
        <w:t xml:space="preserve">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the drifting curtain electrons disperse and become less prominent and therefore less detectable. Lastly, this is compounded by other drift loss cone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30 keV 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AC6.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filtered out candidate events with the criteria mentioned in the text and we did the manual inspection blindly. In other words, we did the inspection without knowing the results---we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distribution in L shell </w:t>
      </w:r>
      <w:r>
        <w:rPr>
          <w:rFonts w:eastAsia="Noto Serif CJK SC" w:cs="Lohit Devanagari"/>
          <w:color w:val="18A303"/>
          <w:kern w:val="2"/>
          <w:sz w:val="24"/>
          <w:szCs w:val="24"/>
          <w:lang w:val="en-US" w:eastAsia="zh-CN" w:bidi="hi-IN"/>
        </w:rPr>
        <w:t>vs</w:t>
      </w:r>
      <w:r>
        <w:rPr>
          <w:rFonts w:eastAsia="Noto Serif CJK SC" w:cs="Lohit Devanagari"/>
          <w:color w:val="18A303"/>
          <w:kern w:val="2"/>
          <w:sz w:val="24"/>
          <w:szCs w:val="24"/>
          <w:lang w:val="en-US" w:eastAsia="zh-CN" w:bidi="hi-IN"/>
        </w:rPr>
        <w:t xml:space="preserve"> </w:t>
      </w:r>
      <w:r>
        <w:rPr>
          <w:color w:val="18A303"/>
        </w:rPr>
        <w:t xml:space="preserve">AE. The AE bins are 100 nT wide and each box is horizontally centered on the lower </w:t>
      </w:r>
      <w:r>
        <w:rPr>
          <w:rFonts w:eastAsia="Noto Serif CJK SC" w:cs="Lohit Devanagari"/>
          <w:color w:val="18A303"/>
          <w:kern w:val="2"/>
          <w:sz w:val="24"/>
          <w:szCs w:val="24"/>
          <w:lang w:val="en-US" w:eastAsia="zh-CN" w:bidi="hi-IN"/>
        </w:rPr>
        <w:t>edge</w:t>
      </w:r>
      <w:r>
        <w:rPr>
          <w:color w:val="18A303"/>
        </w:rPr>
        <w:t xml:space="preserve"> of </w:t>
      </w:r>
      <w:r>
        <w:rPr>
          <w:rFonts w:eastAsia="Noto Serif CJK SC" w:cs="Lohit Devanagari"/>
          <w:color w:val="18A303"/>
          <w:kern w:val="2"/>
          <w:sz w:val="24"/>
          <w:szCs w:val="24"/>
          <w:lang w:val="en-US" w:eastAsia="zh-CN" w:bidi="hi-IN"/>
        </w:rPr>
        <w:t>each</w:t>
      </w:r>
      <w:r>
        <w:rPr>
          <w:color w:val="18A303"/>
        </w:rPr>
        <w:t xml:space="preserve"> AE bin. 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B</w:t>
      </w:r>
      <w:r>
        <w:rPr>
          <w:rFonts w:eastAsia="Noto Serif CJK SC" w:cs="Lohit Devanagari"/>
          <w:color w:val="18A303"/>
          <w:kern w:val="2"/>
          <w:sz w:val="24"/>
          <w:szCs w:val="24"/>
          <w:lang w:val="en-US" w:eastAsia="zh-CN" w:bidi="hi-IN"/>
        </w:rPr>
        <w:t>ecaus</w:t>
      </w:r>
      <w:r>
        <w:rPr>
          <w:rFonts w:eastAsia="Noto Serif CJK SC" w:cs="Lohit Devanagari"/>
          <w:color w:val="18A303"/>
          <w:kern w:val="2"/>
          <w:sz w:val="24"/>
          <w:szCs w:val="24"/>
          <w:lang w:val="en-US" w:eastAsia="zh-CN" w:bidi="hi-IN"/>
        </w:rPr>
        <w:t xml:space="preserve">e </w:t>
      </w:r>
      <w:r>
        <w:rPr>
          <w:rFonts w:eastAsia="Noto Serif CJK SC" w:cs="Lohit Devanagari"/>
          <w:color w:val="18A303"/>
          <w:kern w:val="2"/>
          <w:sz w:val="24"/>
          <w:szCs w:val="24"/>
          <w:lang w:val="en-US" w:eastAsia="zh-CN" w:bidi="hi-IN"/>
        </w:rPr>
        <w:t xml:space="preserve">the </w:t>
      </w:r>
      <w:r>
        <w:rPr>
          <w:rFonts w:eastAsia="Noto Serif CJK SC" w:cs="Lohit Devanagari"/>
          <w:color w:val="18A303"/>
          <w:kern w:val="2"/>
          <w:sz w:val="24"/>
          <w:szCs w:val="24"/>
          <w:lang w:val="en-US" w:eastAsia="zh-CN" w:bidi="hi-IN"/>
        </w:rPr>
        <w:t>L-</w:t>
      </w:r>
      <w:r>
        <w:rPr>
          <w:rFonts w:eastAsia="Noto Serif CJK SC" w:cs="Lohit Devanagari"/>
          <w:color w:val="18A303"/>
          <w:kern w:val="2"/>
          <w:sz w:val="24"/>
          <w:szCs w:val="24"/>
          <w:lang w:val="en-US" w:eastAsia="zh-CN" w:bidi="hi-IN"/>
        </w:rPr>
        <w:t xml:space="preserve">AE </w:t>
      </w:r>
      <w:r>
        <w:rPr>
          <w:rFonts w:eastAsia="Noto Serif CJK SC" w:cs="Lohit Devanagari"/>
          <w:color w:val="18A303"/>
          <w:kern w:val="2"/>
          <w:sz w:val="24"/>
          <w:szCs w:val="24"/>
          <w:lang w:val="en-US" w:eastAsia="zh-CN" w:bidi="hi-IN"/>
        </w:rPr>
        <w:t xml:space="preserve">trend </w:t>
      </w:r>
      <w:r>
        <w:rPr>
          <w:rFonts w:eastAsia="Noto Serif CJK SC" w:cs="Lohit Devanagari"/>
          <w:color w:val="18A303"/>
          <w:kern w:val="2"/>
          <w:sz w:val="24"/>
          <w:szCs w:val="24"/>
          <w:lang w:val="en-US" w:eastAsia="zh-CN" w:bidi="hi-IN"/>
        </w:rPr>
        <w:t xml:space="preserve">is </w:t>
      </w:r>
      <w:r>
        <w:rPr>
          <w:rFonts w:eastAsia="Noto Serif CJK SC" w:cs="Lohit Devanagari"/>
          <w:color w:val="18A303"/>
          <w:kern w:val="2"/>
          <w:sz w:val="24"/>
          <w:szCs w:val="24"/>
          <w:lang w:val="en-US" w:eastAsia="zh-CN" w:bidi="hi-IN"/>
        </w:rPr>
        <w:t>not statistically significant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we </w:t>
      </w:r>
      <w:r>
        <w:rPr>
          <w:rFonts w:eastAsia="Noto Serif CJK SC" w:cs="Lohit Devanagari"/>
          <w:color w:val="18A303"/>
          <w:kern w:val="2"/>
          <w:sz w:val="24"/>
          <w:szCs w:val="24"/>
          <w:lang w:val="en-US" w:eastAsia="zh-CN" w:bidi="hi-IN"/>
        </w:rPr>
        <w:t>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color w:val="18A303"/>
        </w:rPr>
        <w:t xml:space="preserve">Thank you for </w:t>
      </w:r>
      <w:r>
        <w:rPr>
          <w:rFonts w:eastAsia="Noto Serif CJK SC" w:cs="Lohit Devanagari"/>
          <w:color w:val="18A303"/>
          <w:kern w:val="2"/>
          <w:sz w:val="24"/>
          <w:szCs w:val="24"/>
          <w:lang w:val="en-US" w:eastAsia="zh-CN" w:bidi="hi-IN"/>
        </w:rPr>
        <w:t>your detailed thoughts on this matter---your description helped us significantly improve the results of this manuscript.  We believe that our response to your 3</w:t>
      </w:r>
      <w:r>
        <w:rPr>
          <w:rFonts w:eastAsia="Noto Serif CJK SC" w:cs="Lohit Devanagari"/>
          <w:color w:val="18A303"/>
          <w:kern w:val="2"/>
          <w:sz w:val="24"/>
          <w:szCs w:val="24"/>
          <w:vertAlign w:val="superscript"/>
          <w:lang w:val="en-US" w:eastAsia="zh-CN" w:bidi="hi-IN"/>
        </w:rPr>
        <w:t>rd</w:t>
      </w:r>
      <w:r>
        <w:rPr>
          <w:rFonts w:eastAsia="Noto Serif CJK SC" w:cs="Lohit Devanagari"/>
          <w:color w:val="18A303"/>
          <w:kern w:val="2"/>
          <w:sz w:val="24"/>
          <w:szCs w:val="24"/>
          <w:lang w:val="en-US" w:eastAsia="zh-CN" w:bidi="hi-IN"/>
        </w:rPr>
        <w:t xml:space="preserve"> major comment also addressed this comment.</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18A303"/>
        </w:rPr>
        <w:t xml:space="preserve">We chose AE </w:t>
      </w:r>
      <w:r>
        <w:rPr>
          <w:rFonts w:eastAsia="Noto Serif CJK SC" w:cs="Lohit Devanagari"/>
          <w:color w:val="18A303"/>
          <w:kern w:val="2"/>
          <w:sz w:val="24"/>
          <w:szCs w:val="24"/>
          <w:lang w:val="en-US" w:eastAsia="zh-CN" w:bidi="hi-IN"/>
        </w:rPr>
        <w:t>because it is commonly used in other wave and precipitation studies such as the work by Wen Li, Emma Douma, and Nigel Merdeith. We mentioned this in the manuscript.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color w:val="18A303"/>
        </w:rPr>
      </w:pPr>
      <w:r>
        <w:rPr>
          <w:color w:val="18A303"/>
        </w:rPr>
      </w:r>
    </w:p>
    <w:p>
      <w:pPr>
        <w:pStyle w:val="Normal"/>
        <w:bidi w:val="0"/>
        <w:jc w:val="left"/>
        <w:rPr/>
      </w:pPr>
      <w:r>
        <w:rPr>
          <w:color w:val="18A303"/>
        </w:rPr>
        <w:t xml:space="preserve">We added a sentence at the end of the section to remind the reader that in this region any particles observed by AC6, regardless of their pitch angle, will precipitate </w:t>
      </w:r>
      <w:r>
        <w:rPr>
          <w:rFonts w:eastAsia="Noto Serif CJK SC" w:cs="Lohit Devanagari"/>
          <w:color w:val="18A303"/>
          <w:kern w:val="2"/>
          <w:sz w:val="24"/>
          <w:szCs w:val="24"/>
          <w:lang w:val="en-US" w:eastAsia="zh-CN" w:bidi="hi-IN"/>
        </w:rPr>
        <w:t>within</w:t>
      </w:r>
      <w:r>
        <w:rPr>
          <w:color w:val="18A303"/>
        </w:rPr>
        <w:t xml:space="preserve"> a bounce.</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Done. We added the 1 minute trajectory and the direction of travel arrow.</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What we are saying here is the drifting microburst hypothesis can not explain these curtains. There must be something else going on. </w:t>
      </w:r>
      <w:r>
        <w:rPr>
          <w:rFonts w:eastAsia="Noto Serif CJK SC" w:cs="Lohit Devanagari"/>
          <w:color w:val="18A303"/>
          <w:kern w:val="2"/>
          <w:sz w:val="24"/>
          <w:szCs w:val="24"/>
          <w:lang w:val="en-US" w:eastAsia="zh-CN" w:bidi="hi-IN"/>
        </w:rPr>
        <w:t>We clarified this sentence in section 5.3.</w:t>
      </w:r>
    </w:p>
    <w:p>
      <w:pPr>
        <w:pStyle w:val="Normal"/>
        <w:bidi w:val="0"/>
        <w:jc w:val="left"/>
        <w:rPr>
          <w:rFonts w:eastAsia="Noto Serif CJK SC" w:cs="Lohit Devanagari"/>
          <w:color w:val="18A303"/>
          <w:kern w:val="2"/>
          <w:sz w:val="24"/>
          <w:szCs w:val="24"/>
          <w:lang w:val="en-US" w:eastAsia="zh-CN" w:bidi="hi-IN"/>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color w:val="18A303"/>
        </w:rPr>
        <w:t xml:space="preserve">We chose B_f to be the magnetic field at AC6’s location when the BLC curtains were observed. In the conjugate hemisphere in the SAA, the equivalent mirror </w:t>
      </w:r>
      <w:r>
        <w:rPr>
          <w:rFonts w:eastAsia="Noto Serif CJK SC" w:cs="Lohit Devanagari"/>
          <w:color w:val="18A303"/>
          <w:kern w:val="2"/>
          <w:sz w:val="24"/>
          <w:szCs w:val="24"/>
          <w:lang w:val="en-US" w:eastAsia="zh-CN" w:bidi="hi-IN"/>
        </w:rPr>
        <w:t>point altitude will be at or below sea level. While the minimum potential necessary to precipitate electrons could be smaller, we were mainly focused on explaining the observations: the minimum required potential to lower the electron’s mirror point to AC6’s altitude so they can be observed.</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color w:val="18A303"/>
        </w:rPr>
        <w:t xml:space="preserve">We agree that </w:t>
      </w:r>
      <w:r>
        <w:rPr>
          <w:rFonts w:eastAsia="Noto Serif CJK SC" w:cs="Lohit Devanagari"/>
          <w:color w:val="18A303"/>
          <w:kern w:val="2"/>
          <w:sz w:val="24"/>
          <w:szCs w:val="24"/>
          <w:lang w:val="en-US" w:eastAsia="zh-CN" w:bidi="hi-IN"/>
        </w:rPr>
        <w:t>the evidence connecting the curtain and inverted-V phenomena is weak; that is why we state that AC6 alone can’t connect the two. One possible path forward is to use AC6 in conjunction with other ground- and space-based sensors to understand what causes curtains. We are starting exploratory studies looking for curtain precipitation in conjunction with lightning, aurora, and wave-particle interactions observed by The Van Allen Probes.</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color w:val="18A303"/>
        </w:rPr>
        <w:t xml:space="preserve">We’re also hopeful that future missions will include more than 2 satellites </w:t>
      </w:r>
      <w:r>
        <w:rPr>
          <w:rFonts w:eastAsia="Noto Serif CJK SC" w:cs="Lohit Devanagari"/>
          <w:color w:val="18A303"/>
          <w:kern w:val="2"/>
          <w:sz w:val="24"/>
          <w:szCs w:val="24"/>
          <w:lang w:val="en-US" w:eastAsia="zh-CN" w:bidi="hi-IN"/>
        </w:rPr>
        <w:t>to thoroughly study this precipitation and its duration.</w:t>
      </w:r>
      <w:r>
        <w:rPr>
          <w:color w:val="18A303"/>
        </w:rPr>
        <w:t xml:space="preserve"> We modified the last conclusion point, now the 4</w:t>
      </w:r>
      <w:r>
        <w:rPr>
          <w:color w:val="18A303"/>
          <w:vertAlign w:val="superscript"/>
        </w:rPr>
        <w:t>th</w:t>
      </w:r>
      <w:r>
        <w:rPr>
          <w:color w:val="18A303"/>
        </w:rPr>
        <w:t xml:space="preserve"> main point, to </w:t>
      </w:r>
      <w:r>
        <w:rPr>
          <w:rFonts w:eastAsia="Noto Serif CJK SC" w:cs="Lohit Devanagari"/>
          <w:color w:val="18A303"/>
          <w:kern w:val="2"/>
          <w:sz w:val="24"/>
          <w:szCs w:val="24"/>
          <w:lang w:val="en-US" w:eastAsia="zh-CN" w:bidi="hi-IN"/>
        </w:rPr>
        <w:t xml:space="preserve">reiterate </w:t>
      </w:r>
      <w:r>
        <w:rPr>
          <w:color w:val="18A303"/>
        </w:rPr>
        <w:t>the duration limitation.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They’re are typically counted individually, but not always. Below is a thorough explanation.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First, the peak finding algorithm identifies the time intervals when the two dos1 count rates are highly correlated and prominently peaked. Often intervals contain one prominent peak, but sometimes more than one peak is inside the time interval. For studies such O’Brien et al. 2004 and Greeley et al., 2019 this is not a problem because they were summing the microburst flux. But for this study, since we’re identifying individual curtains, this approach will substantially overestimate the number of curtains. Therefore, for each continuous time interval that satisfied the above two criteria, the curtain saved was time tagged at the highest count rate observed by AC6-A.</w:t>
      </w:r>
    </w:p>
    <w:p>
      <w:pPr>
        <w:pStyle w:val="Normal"/>
        <w:bidi w:val="0"/>
        <w:jc w:val="left"/>
        <w:rPr>
          <w:color w:val="18A303"/>
        </w:rPr>
      </w:pPr>
      <w:r>
        <w:rPr>
          <w:color w:val="18A303"/>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electronic </w:t>
      </w:r>
      <w:r>
        <w:rPr>
          <w:color w:val="18A303"/>
        </w:rPr>
        <w:t xml:space="preserve">energy threshold shown in </w:t>
      </w:r>
      <w:r>
        <w:rPr>
          <w:rFonts w:eastAsia="Noto Serif CJK SC" w:cs="Lohit Devanagari"/>
          <w:color w:val="18A303"/>
          <w:kern w:val="2"/>
          <w:sz w:val="24"/>
          <w:szCs w:val="24"/>
          <w:lang w:val="en-US" w:eastAsia="zh-CN" w:bidi="hi-IN"/>
        </w:rPr>
        <w:t>O’Brien et al., 2019. We decided to be consistent with the previous study and changed the energy threshold to 35 keV.</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9584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5"/>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2388</TotalTime>
  <Application>LibreOffice/6.4.6.2$Linux_X86_64 LibreOffice_project/40$Build-2</Application>
  <Pages>11</Pages>
  <Words>4422</Words>
  <Characters>22695</Characters>
  <CharactersWithSpaces>27023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2020-09-28T13:51:50Z</dcterms:modified>
  <cp:revision>229</cp:revision>
  <dc:subject/>
  <dc:title/>
</cp:coreProperties>
</file>