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header1.xml" ContentType="application/vnd.openxmlformats-officedocument.wordprocessingml.header+xml"/>
  <Override PartName="/word/media/image2.png" ContentType="image/png"/>
  <Override PartName="/word/media/image1.png" ContentType="image/png"/>
  <Override PartName="/word/media/image4.png" ContentType="image/png"/>
  <Override PartName="/word/media/image3.png" ContentType="image/png"/>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our manuscript, and our responses to your feedback in 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The biggest change to this manuscript is an addition of a new figure. We expanded the scope of this study by including the geographic distribution of curtains, with an accompanying discussion of the longitudinal distribution of curtains and what signature would be apparent if curtains were drifting.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One additional change that we thought was important. In the introduction we gave a high level overview, and two hypotheses that could create the observed fine structure that persists for multiple seconds. There we mentioned that the fine curtain structure can either be drifting remnants of a gyroresonant wave-particle scattering (such as the Blake and O’Brien 2016 hypothesis) or a stable mechanism that is capable of transporting electrons in pitch angle while both AC6 units pass through the active region’s footprint. We hope that this paragraph gives more context for the reader.</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This is a valid concern and unfortunately the AC6 instrumentation does not allow us to determine the curtain source population. Due to the ~ 30 keV dos1 energy threshold, it is difficult to classify curtains as part of the outer radiation belt, ring current, or the aurora. For reference, we included a plot of the dos1 energy response from O’Brien et al., 2019 (and also cited in the manuscript) that shows that dos1 is more sensitive to radiation belt electrons. However, the observed counts strongly depend on the energy spectrum and that is a big unknown.</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We revised the L shell extent of curtains and where curtains originate from in section 4.2.</w:t>
      </w:r>
    </w:p>
    <w:p>
      <w:pPr>
        <w:pStyle w:val="Normal"/>
        <w:bidi w:val="0"/>
        <w:jc w:val="left"/>
        <w:rPr>
          <w:rFonts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1854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85410"/>
                    </a:xfrm>
                    <a:prstGeom prst="rect">
                      <a:avLst/>
                    </a:prstGeom>
                  </pic:spPr>
                </pic:pic>
              </a:graphicData>
            </a:graphic>
          </wp:anchor>
        </w:drawing>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CHECK PAPER IF WE PICK A SIDE ANYWHERE!</w:t>
      </w:r>
    </w:p>
    <w:p>
      <w:pPr>
        <w:pStyle w:val="Normal"/>
        <w:bidi w:val="0"/>
        <w:jc w:val="left"/>
        <w:rPr/>
      </w:pPr>
      <w:r>
        <w:rPr>
          <w:rFonts w:eastAsia="Noto Serif CJK SC" w:cs="Lohit Devanagari"/>
          <w:color w:val="18A303"/>
          <w:kern w:val="2"/>
          <w:sz w:val="24"/>
          <w:szCs w:val="24"/>
          <w:lang w:val="en-US" w:eastAsia="zh-CN" w:bidi="hi-IN"/>
        </w:rPr>
        <w:t>Thank you for your suggestion and as we pointed out earlier in this letter, we added a new figure that shows the geographic distribution of curtains.</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It appears that the distribution of curtains in longitude, shown in Fig. 4c, does not show an obviously increasing trend eastward of the SAA. Thus, this analysis suggest that curtains are not drifting.</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We did not comment on the MLT distribution in the manuscript because it is very murky. The MLT location of the SAA (tied to the time of day) strongly influences the MLT distribution. We attempted to address this by applying various time of day filters to the MLT distributions, to pin down the SAA location. Unfortunately, this filtering decimated the data set to the point where statistical inference was impossible. Furthermore, the observed MLT distribution will not be uniform because curtain electrons disperse and become less prominent and therefore less detectable. This is compounded by other precipitation that will bury curtains along their drift path.</w:t>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color w:val="18A303"/>
        </w:rPr>
        <w:t xml:space="preserve">You are correct. Do not know how long curtains last for, and we mentioned that </w:t>
      </w:r>
      <w:r>
        <w:rPr>
          <w:rFonts w:eastAsia="Noto Serif CJK SC" w:cs="Lohit Devanagari"/>
          <w:color w:val="18A303"/>
          <w:kern w:val="2"/>
          <w:sz w:val="24"/>
          <w:szCs w:val="24"/>
          <w:lang w:val="en-US" w:eastAsia="zh-CN" w:bidi="hi-IN"/>
        </w:rPr>
        <w:t>AC6 observed them to be stationary for AC6 separations as long as a minute.</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color w:val="C9211E"/>
        </w:rPr>
      </w:pPr>
      <w:r>
        <w:rPr>
          <w:color w:val="C9211E"/>
        </w:rPr>
      </w:r>
    </w:p>
    <w:p>
      <w:pPr>
        <w:pStyle w:val="Normal"/>
        <w:bidi w:val="0"/>
        <w:jc w:val="left"/>
        <w:rPr/>
      </w:pPr>
      <w:r>
        <w:rPr>
          <w:rFonts w:eastAsia="Noto Serif CJK SC" w:cs="Lohit Devanagari"/>
          <w:color w:val="18A303"/>
          <w:kern w:val="2"/>
          <w:sz w:val="24"/>
          <w:szCs w:val="24"/>
          <w:lang w:val="en-US" w:eastAsia="zh-CN" w:bidi="hi-IN"/>
        </w:rPr>
        <w:t>As we mentioned earlier, 30 keV is the lower energy regime of the radiation belts, and the upper energy regime of the ring current, the aurora, and the plasma sheet. On its own, AC6 can not definitively differentiate between these populations so in the introduction we changed “radiation belts” to “magnetosphere” to be more general.</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color w:val="18A303"/>
        </w:rPr>
      </w:pPr>
      <w:r>
        <w:rPr>
          <w:color w:val="18A303"/>
        </w:rPr>
        <w:t xml:space="preserve">We left this line as is because the cautionary sentence is at the end of the introduction section. Please let  us know if you believe that there is a possibility of a reader being mislead. </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color w:val="18A303"/>
        </w:rPr>
      </w:pPr>
      <w:r>
        <w:rPr>
          <w:color w:val="18A303"/>
        </w:rPr>
      </w:r>
    </w:p>
    <w:p>
      <w:pPr>
        <w:pStyle w:val="Normal"/>
        <w:bidi w:val="0"/>
        <w:jc w:val="left"/>
        <w:rPr/>
      </w:pPr>
      <w:r>
        <w:rPr>
          <w:rFonts w:eastAsia="Noto Serif CJK SC" w:cs="Lohit Devanagari"/>
          <w:color w:val="18A303"/>
          <w:kern w:val="2"/>
          <w:sz w:val="24"/>
          <w:szCs w:val="24"/>
          <w:lang w:val="en-US" w:eastAsia="zh-CN" w:bidi="hi-IN"/>
        </w:rPr>
        <w:t xml:space="preserve">There is </w:t>
      </w:r>
      <w:r>
        <w:rPr>
          <w:color w:val="18A303"/>
        </w:rPr>
        <w:t xml:space="preserve">no evidence of curtains observed by FIREBIRD-II in the literature yet, but the FIREBIRD science team plans to look for them in the future. There are a handful of caveats with the data that has prevented us from doing a thorough analysis. In theory these caveats are addressable, so we specifically targeted data downlinks </w:t>
      </w:r>
      <w:r>
        <w:rPr>
          <w:rFonts w:eastAsia="Noto Serif CJK SC" w:cs="Lohit Devanagari"/>
          <w:color w:val="18A303"/>
          <w:kern w:val="2"/>
          <w:sz w:val="24"/>
          <w:szCs w:val="24"/>
          <w:lang w:val="en-US" w:eastAsia="zh-CN" w:bidi="hi-IN"/>
        </w:rPr>
        <w:t>from both CubeSats during the same radiation belt passes.</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color w:val="18A303"/>
        </w:rPr>
      </w:pPr>
      <w:r>
        <w:rPr>
          <w:color w:val="18A303"/>
        </w:rPr>
      </w:r>
    </w:p>
    <w:p>
      <w:pPr>
        <w:pStyle w:val="Normal"/>
        <w:bidi w:val="0"/>
        <w:jc w:val="left"/>
        <w:rPr/>
      </w:pPr>
      <w:r>
        <w:rPr>
          <w:color w:val="18A303"/>
        </w:rPr>
        <w:t xml:space="preserve">We removed the mention of the </w:t>
      </w:r>
      <w:r>
        <w:rPr>
          <w:rFonts w:eastAsia="Noto Serif CJK SC" w:cs="Lohit Devanagari"/>
          <w:color w:val="18A303"/>
          <w:kern w:val="2"/>
          <w:sz w:val="24"/>
          <w:szCs w:val="24"/>
          <w:lang w:val="en-US" w:eastAsia="zh-CN" w:bidi="hi-IN"/>
        </w:rPr>
        <w:t>hypothetical</w:t>
      </w:r>
      <w:r>
        <w:rPr>
          <w:color w:val="18A303"/>
        </w:rPr>
        <w:t xml:space="preserve"> connection between curtains and precipitation bands from the beginning of the paragraph to avoid priming the reader to assume that they are the same thing. We now point out their possible connection at the end of the paragraph---carefully noting that the</w:t>
      </w:r>
      <w:r>
        <w:rPr>
          <w:rFonts w:eastAsia="Noto Serif CJK SC" w:cs="Lohit Devanagari"/>
          <w:color w:val="18A303"/>
          <w:kern w:val="2"/>
          <w:sz w:val="24"/>
          <w:szCs w:val="24"/>
          <w:lang w:val="en-US" w:eastAsia="zh-CN" w:bidi="hi-IN"/>
        </w:rPr>
        <w:t xml:space="preserve"> energy difference between the most recently reported band observations with SAMPEX and CSSWE are for relativistic electrons energies: a very different energy regime than AC6. Therefore curtains and bands could be related, but there is not enough observational evidence to make that connection.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color w:val="18A303"/>
        </w:rPr>
        <w:t>Done.</w:t>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color w:val="18A303"/>
        </w:rPr>
      </w:pPr>
      <w:r>
        <w:rPr>
          <w:rFonts w:eastAsia="Noto Serif CJK SC" w:cs="Lohit Devanagari"/>
          <w:color w:val="18A303"/>
          <w:kern w:val="2"/>
          <w:sz w:val="24"/>
          <w:szCs w:val="24"/>
          <w:lang w:val="en-US" w:eastAsia="zh-CN" w:bidi="hi-IN"/>
        </w:rPr>
        <w:t>We filtered out candidate events with the criteria mentioned in the text and we did the manual inspection blindly. In other words, we did the inspection without knowing the results---we did not go back and adjust our inspection criteria after the first pass.</w:t>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So far this is our conclusion as well. We hope that the new plot of the longitudinal distribution clarifies these results.</w:t>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t>While we were addressing your major point #2, we addressed this point as well.</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color w:val="18A303"/>
        </w:rPr>
        <w:t xml:space="preserve">We made a box plot of the curtain </w:t>
      </w:r>
      <w:r>
        <w:rPr>
          <w:color w:val="18A303"/>
        </w:rPr>
        <w:t>distribution in</w:t>
      </w:r>
      <w:r>
        <w:rPr>
          <w:color w:val="18A303"/>
        </w:rPr>
        <w:t xml:space="preserve"> L shell </w:t>
      </w:r>
      <w:r>
        <w:rPr>
          <w:rFonts w:eastAsia="Noto Serif CJK SC" w:cs="Lohit Devanagari"/>
          <w:color w:val="18A303"/>
          <w:kern w:val="2"/>
          <w:sz w:val="24"/>
          <w:szCs w:val="24"/>
          <w:lang w:val="en-US" w:eastAsia="zh-CN" w:bidi="hi-IN"/>
        </w:rPr>
        <w:t xml:space="preserve">and </w:t>
      </w:r>
      <w:r>
        <w:rPr>
          <w:color w:val="18A303"/>
        </w:rPr>
        <w:t xml:space="preserve">AE. </w:t>
      </w:r>
      <w:r>
        <w:rPr>
          <w:color w:val="18A303"/>
        </w:rPr>
        <w:t xml:space="preserve">The AE bins are </w:t>
      </w:r>
      <w:r>
        <w:rPr>
          <w:color w:val="18A303"/>
        </w:rPr>
        <w:t xml:space="preserve">100 nT wide </w:t>
      </w:r>
      <w:r>
        <w:rPr>
          <w:color w:val="18A303"/>
        </w:rPr>
        <w:t xml:space="preserve">and each box is </w:t>
      </w:r>
      <w:r>
        <w:rPr>
          <w:color w:val="18A303"/>
        </w:rPr>
        <w:t xml:space="preserve">horizontally </w:t>
      </w:r>
      <w:r>
        <w:rPr>
          <w:color w:val="18A303"/>
        </w:rPr>
        <w:t xml:space="preserve">centered on the lower </w:t>
      </w:r>
      <w:r>
        <w:rPr>
          <w:rFonts w:eastAsia="Noto Serif CJK SC" w:cs="Lohit Devanagari"/>
          <w:color w:val="18A303"/>
          <w:kern w:val="2"/>
          <w:sz w:val="24"/>
          <w:szCs w:val="24"/>
          <w:lang w:val="en-US" w:eastAsia="zh-CN" w:bidi="hi-IN"/>
        </w:rPr>
        <w:t>edge</w:t>
      </w:r>
      <w:r>
        <w:rPr>
          <w:color w:val="18A303"/>
        </w:rPr>
        <w:t xml:space="preserve"> of the </w:t>
      </w:r>
      <w:r>
        <w:rPr>
          <w:color w:val="18A303"/>
        </w:rPr>
        <w:t xml:space="preserve">AE </w:t>
      </w:r>
      <w:r>
        <w:rPr>
          <w:color w:val="18A303"/>
        </w:rPr>
        <w:t xml:space="preserve">bin. </w:t>
      </w:r>
      <w:r>
        <w:rPr>
          <w:color w:val="18A303"/>
        </w:rPr>
        <w:t xml:space="preserve">The horizontal yellow line inside each box is the median value of the distribution; while the top and bottom box edges show the interquartile range. </w:t>
      </w:r>
      <w:r>
        <w:rPr>
          <w:rFonts w:eastAsia="Noto Serif CJK SC" w:cs="Lohit Devanagari"/>
          <w:color w:val="18A303"/>
          <w:kern w:val="2"/>
          <w:sz w:val="24"/>
          <w:szCs w:val="24"/>
          <w:lang w:val="en-US" w:eastAsia="zh-CN" w:bidi="hi-IN"/>
        </w:rPr>
        <w:t xml:space="preserve">Most of the probability density is spread out over a few L shells, but the tails of the distributions are very wide.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
    </w:p>
    <w:p>
      <w:pPr>
        <w:pStyle w:val="Normal"/>
        <w:bidi w:val="0"/>
        <w:jc w:val="left"/>
        <w:rPr/>
      </w:pPr>
      <w:r>
        <w:rPr>
          <w:rFonts w:eastAsia="Noto Serif CJK SC" w:cs="Lohit Devanagari"/>
          <w:color w:val="18A303"/>
          <w:kern w:val="2"/>
          <w:sz w:val="24"/>
          <w:szCs w:val="24"/>
          <w:lang w:val="en-US" w:eastAsia="zh-CN" w:bidi="hi-IN"/>
        </w:rPr>
        <w:t xml:space="preserve">Given the medians and interquartile ranges, the trend in L shell vs AE is weak so we </w:t>
      </w:r>
      <w:r>
        <w:rPr>
          <w:rFonts w:eastAsia="Noto Serif CJK SC" w:cs="Lohit Devanagari"/>
          <w:color w:val="18A303"/>
          <w:kern w:val="2"/>
          <w:sz w:val="24"/>
          <w:szCs w:val="24"/>
          <w:lang w:val="en-US" w:eastAsia="zh-CN" w:bidi="hi-IN"/>
        </w:rPr>
        <w:t>we are not going to add this to the manuscript.</w:t>
      </w:r>
    </w:p>
    <w:p>
      <w:pPr>
        <w:pStyle w:val="Normal"/>
        <w:bidi w:val="0"/>
        <w:jc w:val="left"/>
        <w:rPr>
          <w:color w:val="C9211E"/>
        </w:rPr>
      </w:pPr>
      <w:r>
        <w:rPr>
          <w:color w:val="C9211E"/>
        </w:rPr>
      </w:r>
    </w:p>
    <w:p>
      <w:pPr>
        <w:pStyle w:val="Normal"/>
        <w:bidi w:val="0"/>
        <w:jc w:val="left"/>
        <w:rPr>
          <w:color w:val="C9211E"/>
        </w:rPr>
      </w:pPr>
      <w:r>
        <w:rPr>
          <w:color w:val="C9211E"/>
        </w:rPr>
        <w:drawing>
          <wp:anchor behindDoc="0" distT="0" distB="0" distL="0" distR="0" simplePos="0" locked="0" layoutInCell="1" allowOverlap="1" relativeHeight="3">
            <wp:simplePos x="0" y="0"/>
            <wp:positionH relativeFrom="column">
              <wp:posOffset>160655</wp:posOffset>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color w:val="C9211E"/>
        </w:rPr>
        <w:t>We chose it because it is the most commonly used to study chorus waves by Nigel Meredith, Wen Li, and Emma Douma.</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pPr>
      <w:r>
        <w:rPr/>
      </w:r>
    </w:p>
    <w:p>
      <w:pPr>
        <w:pStyle w:val="Normal"/>
        <w:bidi w:val="0"/>
        <w:jc w:val="left"/>
        <w:rPr>
          <w:color w:val="C9211E"/>
        </w:rPr>
      </w:pPr>
      <w:r>
        <w:rPr>
          <w:color w:val="C9211E"/>
        </w:rPr>
        <w:t>It was in the reults section and I do not make a case here one way or another and I left that for the discussion. Sounds like I should elaborate earlier?</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color w:val="C9211E"/>
        </w:rPr>
        <w:t>Yes but the continuous</w:t>
      </w:r>
      <w:r>
        <w:rPr>
          <w:rFonts w:eastAsia="Noto Serif CJK SC" w:cs="Lohit Devanagari"/>
          <w:color w:val="C9211E"/>
          <w:kern w:val="2"/>
          <w:sz w:val="24"/>
          <w:szCs w:val="24"/>
          <w:lang w:val="en-US" w:eastAsia="zh-CN" w:bidi="hi-IN"/>
        </w:rPr>
        <w:t xml:space="preserve"> </w:t>
      </w:r>
      <w:r>
        <w:rPr>
          <w:color w:val="C9211E"/>
        </w:rPr>
        <w:t xml:space="preserve">precipitation shows that, given AC6’s limitations, that there are at least some curtains that can not be drifting. We see an excess of curtains in the BLC (see longitude plot). </w:t>
      </w:r>
    </w:p>
    <w:p>
      <w:pPr>
        <w:pStyle w:val="Normal"/>
        <w:bidi w:val="0"/>
        <w:jc w:val="left"/>
        <w:rPr>
          <w:color w:val="C9211E"/>
        </w:rPr>
      </w:pPr>
      <w:r>
        <w:rPr>
          <w:color w:val="C9211E"/>
        </w:rPr>
      </w:r>
    </w:p>
    <w:p>
      <w:pPr>
        <w:pStyle w:val="Normal"/>
        <w:bidi w:val="0"/>
        <w:jc w:val="left"/>
        <w:rPr>
          <w:color w:val="C9211E"/>
        </w:rPr>
      </w:pPr>
      <w:r>
        <w:rPr>
          <w:color w:val="C9211E"/>
        </w:rPr>
        <w:t xml:space="preserve">The fine spatial structure </w:t>
      </w:r>
    </w:p>
    <w:p>
      <w:pPr>
        <w:pStyle w:val="Normal"/>
        <w:bidi w:val="0"/>
        <w:jc w:val="left"/>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color w:val="18A303"/>
        </w:rPr>
      </w:pPr>
      <w:r>
        <w:rPr>
          <w:color w:val="18A303"/>
        </w:rPr>
        <w:t>You are correct and w</w:t>
      </w:r>
      <w:r>
        <w:rPr>
          <w:rFonts w:eastAsia="Noto Serif CJK SC" w:cs="Lohit Devanagari"/>
          <w:color w:val="18A303"/>
          <w:kern w:val="2"/>
          <w:sz w:val="24"/>
          <w:szCs w:val="24"/>
          <w:lang w:val="en-US" w:eastAsia="zh-CN" w:bidi="hi-IN"/>
        </w:rPr>
        <w:t>e fixed the caption.</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color w:val="18A303"/>
        </w:rPr>
        <w:t xml:space="preserve">The reason we used 30 keV is because </w:t>
      </w:r>
      <w:r>
        <w:rPr>
          <w:rFonts w:eastAsia="Noto Serif CJK SC" w:cs="Lohit Devanagari"/>
          <w:color w:val="18A303"/>
          <w:kern w:val="2"/>
          <w:sz w:val="24"/>
          <w:szCs w:val="24"/>
          <w:lang w:val="en-US" w:eastAsia="zh-CN" w:bidi="hi-IN"/>
        </w:rPr>
        <w:t xml:space="preserve">it is dos1’s </w:t>
      </w:r>
      <w:r>
        <w:rPr>
          <w:color w:val="18A303"/>
        </w:rPr>
        <w:t>energy threshold as shown in t</w:t>
      </w:r>
      <w:r>
        <w:rPr>
          <w:rFonts w:eastAsia="Noto Serif CJK SC" w:cs="Lohit Devanagari"/>
          <w:color w:val="18A303"/>
          <w:kern w:val="2"/>
          <w:sz w:val="24"/>
          <w:szCs w:val="24"/>
          <w:lang w:val="en-US" w:eastAsia="zh-CN" w:bidi="hi-IN"/>
        </w:rPr>
        <w:t xml:space="preserve">he table below (from O’Brien et al., 2019). Furthermore, the plot of dos1’s energy response function included for the other reviewer shows that the energy response starts slightly above 30 keV. This table and figure were made from a model developed after Blake and O'Brien (2106), so we used the updated values. </w:t>
      </w:r>
      <w:r>
        <w:rPr>
          <w:rFonts w:eastAsia="Noto Serif CJK SC" w:cs="Lohit Devanagari"/>
          <w:color w:val="C9211E"/>
          <w:kern w:val="2"/>
          <w:sz w:val="24"/>
          <w:szCs w:val="24"/>
          <w:lang w:val="en-US" w:eastAsia="zh-CN" w:bidi="hi-IN"/>
        </w:rPr>
        <w:t xml:space="preserve">Is this explanation BS?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0695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069590"/>
                    </a:xfrm>
                    <a:prstGeom prst="rect">
                      <a:avLst/>
                    </a:prstGeom>
                  </pic:spPr>
                </pic:pic>
              </a:graphicData>
            </a:graphic>
          </wp:anchor>
        </w:drawing>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In this study curtains are counted</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individually and we have not looked at the curtain occurrence in back-to-back orbits. Blake and O'Brien (2106) did look at curtains observed on adjacent orbits and found that the “...in a little less than 2 h, the precipitation structures of &gt;35 keV electrons at the same local times have evolved significantly although fine structure remained.” Therefore, it looks like Blake and O'Brien (2106) did not find individual curtains that persisted for subsequent orbits, but that question has not been thoroughly investigated.</w:t>
      </w:r>
    </w:p>
    <w:p>
      <w:pPr>
        <w:pStyle w:val="Normal"/>
        <w:bidi w:val="0"/>
        <w:jc w:val="left"/>
        <w:rPr/>
      </w:pPr>
      <w:r>
        <w:rPr/>
      </w:r>
    </w:p>
    <w:p>
      <w:pPr>
        <w:pStyle w:val="Normal"/>
        <w:bidi w:val="0"/>
        <w:jc w:val="left"/>
        <w:rPr/>
      </w:pPr>
      <w:r>
        <w:rPr/>
        <w:t xml:space="preserve">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w:t>
      </w:r>
      <w:r>
        <w:rPr>
          <w:b w:val="false"/>
          <w:bCs w:val="false"/>
        </w:rPr>
        <w:t>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w:t>
      </w:r>
      <w:r>
        <w:rPr/>
        <w:t xml:space="preserv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color w:val="18A303"/>
        </w:rPr>
        <w:t xml:space="preserve">Thank you for mentioning </w:t>
      </w:r>
      <w:r>
        <w:rPr>
          <w:rFonts w:eastAsia="Noto Serif CJK SC" w:cs="Lohit Devanagari"/>
          <w:color w:val="18A303"/>
          <w:kern w:val="2"/>
          <w:sz w:val="24"/>
          <w:szCs w:val="24"/>
          <w:lang w:val="en-US" w:eastAsia="zh-CN" w:bidi="hi-IN"/>
        </w:rPr>
        <w:t>the Anderson et al., 2017 study. We included their contribution to microburst and curtain</w:t>
      </w:r>
      <w:r>
        <w:rPr>
          <w:rFonts w:eastAsia="Noto Serif CJK SC" w:cs="Lohit Devanagari"/>
          <w:color w:val="auto"/>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observations in the introduction section. To constrain the scope of this study, we only focused on the micro physics of individual curtains. We believe that considering the curtain temporal evolution, and looking for conjunctions with balloons and other satellites is a natural follow-on study. As for which AC6 spacecraft observes higher curtain counts, we found no clear trend.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 xml:space="preserve">The plot below shows our study that quantified the AC6 leader vs. follower curtain counts, integrated over 0.5 second (this is before we had a refined width estimate), and with the instruments looking within 10 degrees of each other in pitch angle when the curtain was observed. The left panel shows the follower vs leader count scatter plot with a line with a slope=1 shown by the black dashed line. The scatter plot colors represent the in-track lag. The scatter is roughly uniformly distributed about the slope=1 line, but other trends are not obvious.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To help visualize the ratio, the middle panel shows the ratio of the leader/follower counts vs the leader counts. The right panel is the histogram version of the middle panel with a few statistical values indicated with horizontal lines. The observed median ratio is not at the median (or mean), but is within the interquartile range of the ratio distribution. We argue that the difference is not statistically significant and systematic factors such as instrument cross-calibration can account for the asymmetric distribution.</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9584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958465"/>
                    </a:xfrm>
                    <a:prstGeom prst="rect">
                      <a:avLst/>
                    </a:prstGeom>
                  </pic:spPr>
                </pic:pic>
              </a:graphicData>
            </a:graphic>
          </wp:anchor>
        </w:drawing>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color w:val="18A303"/>
        </w:rPr>
        <w:t xml:space="preserve">We removed </w:t>
      </w:r>
      <w:r>
        <w:rPr>
          <w:rFonts w:eastAsia="Noto Serif CJK SC" w:cs="Lohit Devanagari"/>
          <w:color w:val="18A303"/>
          <w:kern w:val="2"/>
          <w:sz w:val="24"/>
          <w:szCs w:val="24"/>
          <w:lang w:val="en-US" w:eastAsia="zh-CN" w:bidi="hi-IN"/>
        </w:rPr>
        <w:t xml:space="preserve">the “Nevertheless, Fig. 3b hints…” </w:t>
      </w:r>
      <w:r>
        <w:rPr>
          <w:color w:val="18A303"/>
        </w:rPr>
        <w:t xml:space="preserve">statement completely. Instead, we mentioned that </w:t>
      </w:r>
      <w:r>
        <w:rPr>
          <w:rFonts w:eastAsia="Noto Serif CJK SC" w:cs="Lohit Devanagari"/>
          <w:color w:val="18A303"/>
          <w:kern w:val="2"/>
          <w:sz w:val="24"/>
          <w:szCs w:val="24"/>
          <w:lang w:val="en-US" w:eastAsia="zh-CN" w:bidi="hi-IN"/>
        </w:rPr>
        <w:t>curtains could originate from the outer belt or the plasma sheet.</w:t>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p>
      <w:pPr>
        <w:pStyle w:val="Normal"/>
        <w:bidi w:val="0"/>
        <w:jc w:val="left"/>
        <w:rPr>
          <w:color w:val="18A303"/>
        </w:rPr>
      </w:pPr>
      <w:r>
        <w:rPr>
          <w:color w:val="18A303"/>
        </w:rPr>
      </w:r>
    </w:p>
    <w:p>
      <w:pPr>
        <w:pStyle w:val="Normal"/>
        <w:bidi w:val="0"/>
        <w:jc w:val="left"/>
        <w:rPr/>
      </w:pPr>
      <w:r>
        <w:rPr>
          <w:color w:val="18A303"/>
        </w:rPr>
        <w:t xml:space="preserve">Thank you for pointing this out and </w:t>
      </w:r>
      <w:r>
        <w:rPr>
          <w:rFonts w:eastAsia="Noto Serif CJK SC" w:cs="Lohit Devanagari"/>
          <w:color w:val="18A303"/>
          <w:kern w:val="2"/>
          <w:sz w:val="24"/>
          <w:szCs w:val="24"/>
          <w:lang w:val="en-US" w:eastAsia="zh-CN" w:bidi="hi-IN"/>
        </w:rPr>
        <w:t>we mentioned this limitation in the discussion section. We also rewrote the 2</w:t>
      </w:r>
      <w:r>
        <w:rPr>
          <w:rFonts w:eastAsia="Noto Serif CJK SC" w:cs="Lohit Devanagari"/>
          <w:color w:val="18A303"/>
          <w:kern w:val="2"/>
          <w:sz w:val="24"/>
          <w:szCs w:val="24"/>
          <w:vertAlign w:val="superscript"/>
          <w:lang w:val="en-US" w:eastAsia="zh-CN" w:bidi="hi-IN"/>
        </w:rPr>
        <w:t>nd</w:t>
      </w:r>
      <w:r>
        <w:rPr>
          <w:rFonts w:eastAsia="Noto Serif CJK SC" w:cs="Lohit Devanagari"/>
          <w:color w:val="18A303"/>
          <w:kern w:val="2"/>
          <w:sz w:val="24"/>
          <w:szCs w:val="24"/>
          <w:lang w:val="en-US" w:eastAsia="zh-CN" w:bidi="hi-IN"/>
        </w:rPr>
        <w:t xml:space="preserve"> conclusion point to remind the reader of the limited MLT sampling distribution.</w:t>
      </w:r>
    </w:p>
    <w:sectPr>
      <w:headerReference w:type="default" r:id="rId6"/>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2075</TotalTime>
  <Application>LibreOffice/6.4.6.2$Linux_X86_64 LibreOffice_project/40$Build-2</Application>
  <Pages>11</Pages>
  <Words>4110</Words>
  <Characters>20956</Characters>
  <CharactersWithSpaces>24982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2020-09-11T09:42:28Z</dcterms:modified>
  <cp:revision>146</cp:revision>
  <dc:subject/>
  <dc:title/>
</cp:coreProperties>
</file>