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One additional change that we thought was important. In the introduction we gave a high level overview, and two hypotheses that could create the observed fine structure that persists for multiple seconds. There we mentioned that the fine curtain structure can either be drifting remnants of a gyroresonant wave-particle scattering (such as the Blake and O’Brien 2016 hypothesis) or a stable mechanism that is capable of transporting electrons in pitch angle while both AC6 units pass through the active region’s footprint. We hope that this paragraph gives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w:t>
      </w:r>
      <w:r>
        <w:rPr>
          <w:rFonts w:eastAsia="Noto Serif CJK SC" w:cs="Lohit Devanagari"/>
          <w:color w:val="18A303"/>
          <w:kern w:val="2"/>
          <w:sz w:val="24"/>
          <w:szCs w:val="24"/>
          <w:lang w:val="en-US" w:eastAsia="zh-CN" w:bidi="hi-IN"/>
        </w:rPr>
        <w:t>strongly</w:t>
      </w:r>
      <w:r>
        <w:rPr>
          <w:rFonts w:eastAsia="Noto Serif CJK SC" w:cs="Lohit Devanagari"/>
          <w:color w:val="18A303"/>
          <w:kern w:val="2"/>
          <w:sz w:val="24"/>
          <w:szCs w:val="24"/>
          <w:lang w:val="en-US" w:eastAsia="zh-CN" w:bidi="hi-IN"/>
        </w:rPr>
        <w:t xml:space="preserve">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curtain electrons disperse and become less prominent and therefore less detectable. This is compounded by other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color w:val="18A303"/>
        </w:rPr>
        <w:t xml:space="preserve">You are correct. Do not know how long curtains last for, and we mentioned that </w:t>
      </w:r>
      <w:r>
        <w:rPr>
          <w:rFonts w:eastAsia="Noto Serif CJK SC" w:cs="Lohit Devanagari"/>
          <w:color w:val="18A303"/>
          <w:kern w:val="2"/>
          <w:sz w:val="24"/>
          <w:szCs w:val="24"/>
          <w:lang w:val="en-US" w:eastAsia="zh-CN" w:bidi="hi-IN"/>
        </w:rPr>
        <w:t xml:space="preserve">AC6 observed them to be stationary </w:t>
      </w:r>
      <w:r>
        <w:rPr>
          <w:rFonts w:eastAsia="Noto Serif CJK SC" w:cs="Lohit Devanagari"/>
          <w:color w:val="18A303"/>
          <w:kern w:val="2"/>
          <w:sz w:val="24"/>
          <w:szCs w:val="24"/>
          <w:lang w:val="en-US" w:eastAsia="zh-CN" w:bidi="hi-IN"/>
        </w:rPr>
        <w:t>for AC6 separations as long as a minute.</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color w:val="C9211E"/>
        </w:rPr>
      </w:pPr>
      <w:r>
        <w:rPr/>
      </w:r>
    </w:p>
    <w:p>
      <w:pPr>
        <w:pStyle w:val="Normal"/>
        <w:bidi w:val="0"/>
        <w:jc w:val="left"/>
        <w:rPr/>
      </w:pPr>
      <w:r>
        <w:rPr>
          <w:rFonts w:eastAsia="Noto Serif CJK SC" w:cs="Lohit Devanagari"/>
          <w:color w:val="18A303"/>
          <w:kern w:val="2"/>
          <w:sz w:val="24"/>
          <w:szCs w:val="24"/>
          <w:lang w:val="en-US" w:eastAsia="zh-CN" w:bidi="hi-IN"/>
        </w:rPr>
        <w:t xml:space="preserve">As </w:t>
      </w:r>
      <w:r>
        <w:rPr>
          <w:rFonts w:eastAsia="Noto Serif CJK SC" w:cs="Lohit Devanagari"/>
          <w:color w:val="18A303"/>
          <w:kern w:val="2"/>
          <w:sz w:val="24"/>
          <w:szCs w:val="24"/>
          <w:lang w:val="en-US" w:eastAsia="zh-CN" w:bidi="hi-IN"/>
        </w:rPr>
        <w:t xml:space="preserve">we </w:t>
      </w:r>
      <w:r>
        <w:rPr>
          <w:rFonts w:eastAsia="Noto Serif CJK SC" w:cs="Lohit Devanagari"/>
          <w:color w:val="18A303"/>
          <w:kern w:val="2"/>
          <w:sz w:val="24"/>
          <w:szCs w:val="24"/>
          <w:lang w:val="en-US" w:eastAsia="zh-CN" w:bidi="hi-IN"/>
        </w:rPr>
        <w:t xml:space="preserve">mentioned earlier, 30 keV </w:t>
      </w:r>
      <w:r>
        <w:rPr>
          <w:rFonts w:eastAsia="Noto Serif CJK SC" w:cs="Lohit Devanagari"/>
          <w:color w:val="18A303"/>
          <w:kern w:val="2"/>
          <w:sz w:val="24"/>
          <w:szCs w:val="24"/>
          <w:lang w:val="en-US" w:eastAsia="zh-CN" w:bidi="hi-IN"/>
        </w:rPr>
        <w:t>is the lower energy regime of the radiation belts, and the upper energy regime of the ring current, the aurora, and the plasma sheet. On its own, AC6 can not definitively differentiate between these populations so in the introduction we changed “radiation belts” to “magnetosphere” to be more general.</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color w:val="18A303"/>
        </w:rPr>
      </w:pPr>
      <w:r>
        <w:rPr/>
      </w:r>
    </w:p>
    <w:p>
      <w:pPr>
        <w:pStyle w:val="Normal"/>
        <w:bidi w:val="0"/>
        <w:jc w:val="left"/>
        <w:rPr/>
      </w:pP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w:t>
      </w:r>
      <w:r>
        <w:rPr>
          <w:rFonts w:eastAsia="Noto Serif CJK SC" w:cs="Lohit Devanagari"/>
          <w:color w:val="18A303"/>
          <w:kern w:val="2"/>
          <w:sz w:val="24"/>
          <w:szCs w:val="24"/>
          <w:lang w:val="en-US" w:eastAsia="zh-CN" w:bidi="hi-IN"/>
        </w:rPr>
        <w:t xml:space="preserve"> energy difference between the most recently reported band observations with SAMPEX </w:t>
      </w:r>
      <w:r>
        <w:rPr>
          <w:rFonts w:eastAsia="Noto Serif CJK SC" w:cs="Lohit Devanagari"/>
          <w:color w:val="18A303"/>
          <w:kern w:val="2"/>
          <w:sz w:val="24"/>
          <w:szCs w:val="24"/>
          <w:lang w:val="en-US" w:eastAsia="zh-CN" w:bidi="hi-IN"/>
        </w:rPr>
        <w:t>and CSSWE</w:t>
      </w:r>
      <w:r>
        <w:rPr>
          <w:rFonts w:eastAsia="Noto Serif CJK SC" w:cs="Lohit Devanagari"/>
          <w:color w:val="18A303"/>
          <w:kern w:val="2"/>
          <w:sz w:val="24"/>
          <w:szCs w:val="24"/>
          <w:lang w:val="en-US" w:eastAsia="zh-CN" w:bidi="hi-IN"/>
        </w:rPr>
        <w:t xml:space="preserve"> are for </w:t>
      </w:r>
      <w:r>
        <w:rPr>
          <w:rFonts w:eastAsia="Noto Serif CJK SC" w:cs="Lohit Devanagari"/>
          <w:color w:val="18A303"/>
          <w:kern w:val="2"/>
          <w:sz w:val="24"/>
          <w:szCs w:val="24"/>
          <w:lang w:val="en-US" w:eastAsia="zh-CN" w:bidi="hi-IN"/>
        </w:rPr>
        <w:t>relativistic</w:t>
      </w:r>
      <w:r>
        <w:rPr>
          <w:rFonts w:eastAsia="Noto Serif CJK SC" w:cs="Lohit Devanagari"/>
          <w:color w:val="18A303"/>
          <w:kern w:val="2"/>
          <w:sz w:val="24"/>
          <w:szCs w:val="24"/>
          <w:lang w:val="en-US" w:eastAsia="zh-CN" w:bidi="hi-IN"/>
        </w:rPr>
        <w:t xml:space="preserve"> electrons energies: a very different energy regime than AC6. Therefore </w:t>
      </w:r>
      <w:r>
        <w:rPr>
          <w:rFonts w:eastAsia="Noto Serif CJK SC" w:cs="Lohit Devanagari"/>
          <w:color w:val="18A303"/>
          <w:kern w:val="2"/>
          <w:sz w:val="24"/>
          <w:szCs w:val="24"/>
          <w:lang w:val="en-US" w:eastAsia="zh-CN" w:bidi="hi-IN"/>
        </w:rPr>
        <w:t xml:space="preserve">curtains and bands </w:t>
      </w:r>
      <w:r>
        <w:rPr>
          <w:rFonts w:eastAsia="Noto Serif CJK SC" w:cs="Lohit Devanagari"/>
          <w:color w:val="18A303"/>
          <w:kern w:val="2"/>
          <w:sz w:val="24"/>
          <w:szCs w:val="24"/>
          <w:lang w:val="en-US" w:eastAsia="zh-CN" w:bidi="hi-IN"/>
        </w:rPr>
        <w:t xml:space="preserve">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color w:val="18A303"/>
        </w:rPr>
        <w:t>Done.</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 xml:space="preserve">We filtered out candidate events with the criteria mentioned in the text </w:t>
      </w:r>
      <w:r>
        <w:rPr>
          <w:rFonts w:eastAsia="Noto Serif CJK SC" w:cs="Lohit Devanagari"/>
          <w:color w:val="18A303"/>
          <w:kern w:val="2"/>
          <w:sz w:val="24"/>
          <w:szCs w:val="24"/>
          <w:lang w:val="en-US" w:eastAsia="zh-CN" w:bidi="hi-IN"/>
        </w:rPr>
        <w:t>and</w:t>
      </w:r>
      <w:r>
        <w:rPr>
          <w:rFonts w:eastAsia="Noto Serif CJK SC" w:cs="Lohit Devanagari"/>
          <w:color w:val="18A303"/>
          <w:kern w:val="2"/>
          <w:sz w:val="24"/>
          <w:szCs w:val="24"/>
          <w:lang w:val="en-US" w:eastAsia="zh-CN" w:bidi="hi-IN"/>
        </w:rPr>
        <w:t xml:space="preserve"> we did the manual inspection blindly. In other words, we did the inspection without knowing the results---we did not go back and adjust our inspection criteria </w:t>
      </w:r>
      <w:r>
        <w:rPr>
          <w:rFonts w:eastAsia="Noto Serif CJK SC" w:cs="Lohit Devanagari"/>
          <w:color w:val="18A303"/>
          <w:kern w:val="2"/>
          <w:sz w:val="24"/>
          <w:szCs w:val="24"/>
          <w:lang w:val="en-US" w:eastAsia="zh-CN" w:bidi="hi-IN"/>
        </w:rPr>
        <w:t>after the first pass.</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So far this is our conclusion as well. We hope that the new plot of the longitudinal distribution clarifies these results.</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t>While we were addressing your major point #2, we addressed this point as well.</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C9211E"/>
        </w:rPr>
        <w:t xml:space="preserve">It does look like that, although in the pre-midnight MLT the radiation belt magnetic field lines are stretched. MENTION THE PLASMA SHEET (IN PAPER). </w:t>
      </w:r>
      <w:r>
        <w:rPr>
          <w:rFonts w:eastAsia="Noto Serif CJK SC" w:cs="Lohit Devanagari"/>
          <w:color w:val="C9211E"/>
          <w:kern w:val="2"/>
          <w:sz w:val="24"/>
          <w:szCs w:val="24"/>
          <w:lang w:val="en-US" w:eastAsia="zh-CN" w:bidi="hi-IN"/>
        </w:rPr>
        <w:t>Not much of a trend so 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C9211E"/>
        </w:rPr>
        <w:t>We chose it because it is the most commonly used to study chorus waves by Nigel Meredith, Wen Li, and Emma Douma.</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We see an excess of curtains in the BLC (see longitude plot). </w:t>
      </w:r>
    </w:p>
    <w:p>
      <w:pPr>
        <w:pStyle w:val="Normal"/>
        <w:bidi w:val="0"/>
        <w:jc w:val="left"/>
        <w:rPr>
          <w:color w:val="C9211E"/>
        </w:rPr>
      </w:pPr>
      <w:r>
        <w:rPr>
          <w:color w:val="C9211E"/>
        </w:rPr>
      </w:r>
    </w:p>
    <w:p>
      <w:pPr>
        <w:pStyle w:val="Normal"/>
        <w:bidi w:val="0"/>
        <w:jc w:val="left"/>
        <w:rPr>
          <w:color w:val="C9211E"/>
        </w:rPr>
      </w:pPr>
      <w:r>
        <w:rPr>
          <w:color w:val="C9211E"/>
        </w:rPr>
        <w:t xml:space="preserve">The fine spatial structure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w:t>
      </w:r>
      <w:r>
        <w:rPr>
          <w:color w:val="18A303"/>
        </w:rPr>
        <w:t>energy threshold as shown in t</w:t>
      </w:r>
      <w:r>
        <w:rPr>
          <w:rFonts w:eastAsia="Noto Serif CJK SC" w:cs="Lohit Devanagari"/>
          <w:color w:val="18A303"/>
          <w:kern w:val="2"/>
          <w:sz w:val="24"/>
          <w:szCs w:val="24"/>
          <w:lang w:val="en-US" w:eastAsia="zh-CN" w:bidi="hi-IN"/>
        </w:rPr>
        <w:t xml:space="preserve">he table below (from O’Brien et al., 2019). Furthermore, the plot of dos1’s energy response function included for the other reviewer shows that the energy response starts slightly above 30 keV. This table and figure were made from a model developed after Blake and O'Brien (2106), so we used the updated values. </w:t>
      </w:r>
      <w:r>
        <w:rPr>
          <w:rFonts w:eastAsia="Noto Serif CJK SC" w:cs="Lohit Devanagari"/>
          <w:color w:val="C9211E"/>
          <w:kern w:val="2"/>
          <w:sz w:val="24"/>
          <w:szCs w:val="24"/>
          <w:lang w:val="en-US" w:eastAsia="zh-CN" w:bidi="hi-IN"/>
        </w:rPr>
        <w:t xml:space="preserve">Is this explanation BS?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069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69590"/>
                    </a:xfrm>
                    <a:prstGeom prst="rect">
                      <a:avLst/>
                    </a:prstGeom>
                  </pic:spPr>
                </pic:pic>
              </a:graphicData>
            </a:graphic>
          </wp:anchor>
        </w:drawing>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individually and we have not looked at the curtain occurrence in back-to-back orbits. Blake and O'Brien (2106) did look at curtains observed on adjacent orbits and found that the “...in a little less than 2 h, the precipitation structures of &gt;35 keV electrons at the same local times have evolved significantly although fine structure remained.” Therefore, it looks like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the Anderson et al., 2017 study. 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To constrain the scope of this study, we only focused on the micro physics of individual curtains. We believe that considering the curtain temporal evolution, and looking for conjunctions with balloons and other satellites is a natural follow-on study. 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The plot below shows our study that quantified the AC6 leader vs. follower curtain counts, integrated over 0.5 second (this is before we had a refined width estimate), and with the instruments looking within 10 degrees of each other in pitch angle when the curtain was observed. The left panel shows the follower vs leader count scatter plot with a line with a slope=1 shown by the black dashed line. The scatter plot colors represent the in-track lag. The scatter is roughly uniformly distributed about the slope=1 line, but other trends are not obvious.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To help visualize the ratio, the middle panel shows the ratio of the leader/follower counts vs the leader counts. The right panel is the histogram version of the middle panel with a few statistical values indicated with horizontal lines. The observed median ratio is not at the median (or mean), but is within the interquartile range of the ratio distribution. We argue that the difference is not statistically significant and systematic factors such as instrument cross-calibration can account for the asymmetric distribution.</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9584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out and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remind the reader of the limited MLT sampling distribution.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2028</TotalTime>
  <Application>LibreOffice/6.4.6.2$Linux_X86_64 LibreOffice_project/40$Build-2</Application>
  <Pages>11</Pages>
  <Words>4041</Words>
  <Characters>20681</Characters>
  <CharactersWithSpaces>24638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2020-09-10T15:35:08Z</dcterms:modified>
  <cp:revision>134</cp:revision>
  <dc:subject/>
  <dc:title/>
</cp:coreProperties>
</file>