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The biggest change to this manuscript is an addition of a new figure. We expanded the scope of this study by including the geographic distribution of curtains, with </w:t>
      </w:r>
      <w:r>
        <w:rPr>
          <w:rFonts w:eastAsia="Noto Serif CJK SC" w:cs="Lohit Devanagari"/>
          <w:color w:val="auto"/>
          <w:kern w:val="2"/>
          <w:sz w:val="24"/>
          <w:szCs w:val="24"/>
          <w:lang w:val="en-US" w:eastAsia="zh-CN" w:bidi="hi-IN"/>
        </w:rPr>
        <w:t>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
    </w:p>
    <w:p>
      <w:pPr>
        <w:pStyle w:val="Normal"/>
        <w:bidi w:val="0"/>
        <w:jc w:val="left"/>
        <w:rPr/>
      </w:pPr>
      <w:r>
        <w:rPr>
          <w:rFonts w:eastAsia="Noto Serif CJK SC" w:cs="Lohit Devanagari"/>
          <w:color w:val="auto"/>
          <w:kern w:val="2"/>
          <w:sz w:val="24"/>
          <w:szCs w:val="24"/>
          <w:lang w:val="en-US" w:eastAsia="zh-CN" w:bidi="hi-IN"/>
        </w:rPr>
        <w:t xml:space="preserve">One additional change that we thought was important. </w:t>
      </w:r>
      <w:r>
        <w:rPr>
          <w:rFonts w:eastAsia="Noto Serif CJK SC" w:cs="Lohit Devanagari"/>
          <w:color w:val="auto"/>
          <w:kern w:val="2"/>
          <w:sz w:val="24"/>
          <w:szCs w:val="24"/>
          <w:lang w:val="en-US" w:eastAsia="zh-CN" w:bidi="hi-IN"/>
        </w:rPr>
        <w:t xml:space="preserve">In the introduction we gave a high level overview, and two </w:t>
      </w:r>
      <w:r>
        <w:rPr>
          <w:rFonts w:eastAsia="Noto Serif CJK SC" w:cs="Lohit Devanagari"/>
          <w:color w:val="auto"/>
          <w:kern w:val="2"/>
          <w:sz w:val="24"/>
          <w:szCs w:val="24"/>
          <w:lang w:val="en-US" w:eastAsia="zh-CN" w:bidi="hi-IN"/>
        </w:rPr>
        <w:t xml:space="preserve">hypotheses </w:t>
      </w:r>
      <w:r>
        <w:rPr>
          <w:rFonts w:eastAsia="Noto Serif CJK SC" w:cs="Lohit Devanagari"/>
          <w:color w:val="auto"/>
          <w:kern w:val="2"/>
          <w:sz w:val="24"/>
          <w:szCs w:val="24"/>
          <w:lang w:val="en-US" w:eastAsia="zh-CN" w:bidi="hi-IN"/>
        </w:rPr>
        <w:t xml:space="preserve">that could create the observed fine structure </w:t>
      </w:r>
      <w:r>
        <w:rPr>
          <w:rFonts w:eastAsia="Noto Serif CJK SC" w:cs="Lohit Devanagari"/>
          <w:color w:val="auto"/>
          <w:kern w:val="2"/>
          <w:sz w:val="24"/>
          <w:szCs w:val="24"/>
          <w:lang w:val="en-US" w:eastAsia="zh-CN" w:bidi="hi-IN"/>
        </w:rPr>
        <w:t>that persists for multiple seconds</w:t>
      </w:r>
      <w:r>
        <w:rPr>
          <w:rFonts w:eastAsia="Noto Serif CJK SC" w:cs="Lohit Devanagari"/>
          <w:color w:val="auto"/>
          <w:kern w:val="2"/>
          <w:sz w:val="24"/>
          <w:szCs w:val="24"/>
          <w:lang w:val="en-US" w:eastAsia="zh-CN" w:bidi="hi-IN"/>
        </w:rPr>
        <w:t xml:space="preserve">. There we mentioned that the fine curtain structure can either be drifting remnants of a gyroresonant </w:t>
      </w:r>
      <w:r>
        <w:rPr>
          <w:rFonts w:eastAsia="Noto Serif CJK SC" w:cs="Lohit Devanagari"/>
          <w:color w:val="auto"/>
          <w:kern w:val="2"/>
          <w:sz w:val="24"/>
          <w:szCs w:val="24"/>
          <w:lang w:val="en-US" w:eastAsia="zh-CN" w:bidi="hi-IN"/>
        </w:rPr>
        <w:t xml:space="preserve">wave-particle scattering (such as the Blake and O’Brien 2016 hypothesis) or a stable mechanism that is capable of transporting electrons in pitch angle while both AC6 units pass through the active region’s footprint. We hope that this paragraph </w:t>
      </w:r>
      <w:r>
        <w:rPr>
          <w:rFonts w:eastAsia="Noto Serif CJK SC" w:cs="Lohit Devanagari"/>
          <w:color w:val="auto"/>
          <w:kern w:val="2"/>
          <w:sz w:val="24"/>
          <w:szCs w:val="24"/>
          <w:lang w:val="en-US" w:eastAsia="zh-CN" w:bidi="hi-IN"/>
        </w:rPr>
        <w:t>gives</w:t>
      </w:r>
      <w:r>
        <w:rPr>
          <w:rFonts w:eastAsia="Noto Serif CJK SC" w:cs="Lohit Devanagari"/>
          <w:color w:val="auto"/>
          <w:kern w:val="2"/>
          <w:sz w:val="24"/>
          <w:szCs w:val="24"/>
          <w:lang w:val="en-US" w:eastAsia="zh-CN" w:bidi="hi-IN"/>
        </w:rPr>
        <w:t xml:space="preserve">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to classify curtains as part of the outer radiation belt, ring current, or the aurora. </w:t>
      </w:r>
      <w:r>
        <w:rPr>
          <w:rFonts w:eastAsia="Noto Serif CJK SC" w:cs="Lohit Devanagari"/>
          <w:color w:val="18A303"/>
          <w:kern w:val="2"/>
          <w:sz w:val="24"/>
          <w:szCs w:val="24"/>
          <w:lang w:val="en-US" w:eastAsia="zh-CN" w:bidi="hi-IN"/>
        </w:rPr>
        <w:t xml:space="preserve">For reference, we included </w:t>
      </w:r>
      <w:r>
        <w:rPr>
          <w:rFonts w:eastAsia="Noto Serif CJK SC" w:cs="Lohit Devanagari"/>
          <w:color w:val="18A303"/>
          <w:kern w:val="2"/>
          <w:sz w:val="24"/>
          <w:szCs w:val="24"/>
          <w:lang w:val="en-US" w:eastAsia="zh-CN" w:bidi="hi-IN"/>
        </w:rPr>
        <w:t>a plot of</w:t>
      </w:r>
      <w:r>
        <w:rPr>
          <w:rFonts w:eastAsia="Noto Serif CJK SC" w:cs="Lohit Devanagari"/>
          <w:color w:val="18A303"/>
          <w:kern w:val="2"/>
          <w:sz w:val="24"/>
          <w:szCs w:val="24"/>
          <w:lang w:val="en-US" w:eastAsia="zh-CN" w:bidi="hi-IN"/>
        </w:rPr>
        <w:t xml:space="preserve"> the dos1 energy response from O’Brien et al., 2019 (and also cited in the manuscript) </w:t>
      </w:r>
      <w:r>
        <w:rPr>
          <w:rFonts w:eastAsia="Noto Serif CJK SC" w:cs="Lohit Devanagari"/>
          <w:color w:val="18A303"/>
          <w:kern w:val="2"/>
          <w:sz w:val="24"/>
          <w:szCs w:val="24"/>
          <w:lang w:val="en-US" w:eastAsia="zh-CN" w:bidi="hi-IN"/>
        </w:rPr>
        <w:t>that shows that dos1 is more sensitive to radiation belt electrons. However, the observed counts stringly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 xml:space="preserve">We revised the </w:t>
      </w:r>
      <w:r>
        <w:rPr>
          <w:rFonts w:eastAsia="Noto Serif CJK SC" w:cs="Lohit Devanagari"/>
          <w:color w:val="18A303"/>
          <w:kern w:val="2"/>
          <w:sz w:val="24"/>
          <w:szCs w:val="24"/>
          <w:lang w:val="en-US" w:eastAsia="zh-CN" w:bidi="hi-IN"/>
        </w:rPr>
        <w:t xml:space="preserve">L shell extent </w:t>
      </w:r>
      <w:r>
        <w:rPr>
          <w:rFonts w:eastAsia="Noto Serif CJK SC" w:cs="Lohit Devanagari"/>
          <w:color w:val="18A303"/>
          <w:kern w:val="2"/>
          <w:sz w:val="24"/>
          <w:szCs w:val="24"/>
          <w:lang w:val="en-US" w:eastAsia="zh-CN" w:bidi="hi-IN"/>
        </w:rPr>
        <w:t>of curtains</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and </w:t>
      </w:r>
      <w:r>
        <w:rPr>
          <w:rFonts w:eastAsia="Noto Serif CJK SC" w:cs="Lohit Devanagari"/>
          <w:color w:val="18A303"/>
          <w:kern w:val="2"/>
          <w:sz w:val="24"/>
          <w:szCs w:val="24"/>
          <w:lang w:val="en-US" w:eastAsia="zh-CN" w:bidi="hi-IN"/>
        </w:rPr>
        <w:t xml:space="preserve">where curtains originate from </w:t>
      </w:r>
      <w:r>
        <w:rPr>
          <w:rFonts w:eastAsia="Noto Serif CJK SC" w:cs="Lohit Devanagari"/>
          <w:color w:val="18A303"/>
          <w:kern w:val="2"/>
          <w:sz w:val="24"/>
          <w:szCs w:val="24"/>
          <w:lang w:val="en-US" w:eastAsia="zh-CN" w:bidi="hi-IN"/>
        </w:rPr>
        <w:t>in section 4.2</w:t>
      </w:r>
      <w:r>
        <w:rPr>
          <w:rFonts w:eastAsia="Noto Serif CJK SC" w:cs="Lohit Devanagari"/>
          <w:color w:val="18A303"/>
          <w:kern w:val="2"/>
          <w:sz w:val="24"/>
          <w:szCs w:val="24"/>
          <w:lang w:val="en-US" w:eastAsia="zh-CN" w:bidi="hi-IN"/>
        </w:rPr>
        <w:t>.</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 xml:space="preserve">Thank you for your suggestion and as we pointed out earlier </w:t>
      </w:r>
      <w:r>
        <w:rPr>
          <w:rFonts w:eastAsia="Noto Serif CJK SC" w:cs="Lohit Devanagari"/>
          <w:color w:val="18A303"/>
          <w:kern w:val="2"/>
          <w:sz w:val="24"/>
          <w:szCs w:val="24"/>
          <w:lang w:val="en-US" w:eastAsia="zh-CN" w:bidi="hi-IN"/>
        </w:rPr>
        <w:t>in this letter</w:t>
      </w:r>
      <w:r>
        <w:rPr>
          <w:rFonts w:eastAsia="Noto Serif CJK SC" w:cs="Lohit Devanagari"/>
          <w:color w:val="18A303"/>
          <w:kern w:val="2"/>
          <w:sz w:val="24"/>
          <w:szCs w:val="24"/>
          <w:lang w:val="en-US" w:eastAsia="zh-CN" w:bidi="hi-IN"/>
        </w:rPr>
        <w:t>,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It </w:t>
      </w:r>
      <w:r>
        <w:rPr>
          <w:rFonts w:eastAsia="Noto Serif CJK SC" w:cs="Lohit Devanagari"/>
          <w:color w:val="18A303"/>
          <w:kern w:val="2"/>
          <w:sz w:val="24"/>
          <w:szCs w:val="24"/>
          <w:lang w:val="en-US" w:eastAsia="zh-CN" w:bidi="hi-IN"/>
        </w:rPr>
        <w:t xml:space="preserve">appears that </w:t>
      </w:r>
      <w:r>
        <w:rPr>
          <w:rFonts w:eastAsia="Noto Serif CJK SC" w:cs="Lohit Devanagari"/>
          <w:color w:val="18A303"/>
          <w:kern w:val="2"/>
          <w:sz w:val="24"/>
          <w:szCs w:val="24"/>
          <w:lang w:val="en-US" w:eastAsia="zh-CN" w:bidi="hi-IN"/>
        </w:rPr>
        <w:t xml:space="preserve">the distribution of curtains in longitude, shown in Fig. 4c, does not show an obviously increasing trend </w:t>
      </w:r>
      <w:r>
        <w:rPr>
          <w:rFonts w:eastAsia="Noto Serif CJK SC" w:cs="Lohit Devanagari"/>
          <w:color w:val="18A303"/>
          <w:kern w:val="2"/>
          <w:sz w:val="24"/>
          <w:szCs w:val="24"/>
          <w:lang w:val="en-US" w:eastAsia="zh-CN" w:bidi="hi-IN"/>
        </w:rPr>
        <w:t>eastward</w:t>
      </w:r>
      <w:r>
        <w:rPr>
          <w:rFonts w:eastAsia="Noto Serif CJK SC" w:cs="Lohit Devanagari"/>
          <w:color w:val="18A303"/>
          <w:kern w:val="2"/>
          <w:sz w:val="24"/>
          <w:szCs w:val="24"/>
          <w:lang w:val="en-US" w:eastAsia="zh-CN" w:bidi="hi-IN"/>
        </w:rPr>
        <w:t xml:space="preserve"> of the SAA. Thus, </w:t>
      </w:r>
      <w:r>
        <w:rPr>
          <w:rFonts w:eastAsia="Noto Serif CJK SC" w:cs="Lohit Devanagari"/>
          <w:color w:val="18A303"/>
          <w:kern w:val="2"/>
          <w:sz w:val="24"/>
          <w:szCs w:val="24"/>
          <w:lang w:val="en-US" w:eastAsia="zh-CN" w:bidi="hi-IN"/>
        </w:rPr>
        <w:t>this analysis</w:t>
      </w:r>
      <w:r>
        <w:rPr>
          <w:rFonts w:eastAsia="Noto Serif CJK SC" w:cs="Lohit Devanagari"/>
          <w:color w:val="18A303"/>
          <w:kern w:val="2"/>
          <w:sz w:val="24"/>
          <w:szCs w:val="24"/>
          <w:lang w:val="en-US" w:eastAsia="zh-CN" w:bidi="hi-IN"/>
        </w:rPr>
        <w:t xml:space="preserve">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We did not comment on the MLT distribution </w:t>
      </w:r>
      <w:r>
        <w:rPr>
          <w:rFonts w:eastAsia="Noto Serif CJK SC" w:cs="Lohit Devanagari"/>
          <w:color w:val="18A303"/>
          <w:kern w:val="2"/>
          <w:sz w:val="24"/>
          <w:szCs w:val="24"/>
          <w:lang w:val="en-US" w:eastAsia="zh-CN" w:bidi="hi-IN"/>
        </w:rPr>
        <w:t>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curtain electrons disperse and become less prominent and therefore less detectable. This is compounded by other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color w:val="C9211E"/>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We f</w:t>
      </w:r>
      <w:r>
        <w:rPr>
          <w:rFonts w:eastAsia="Noto Serif CJK SC" w:cs="Lohit Devanagari"/>
          <w:color w:val="18A303"/>
          <w:kern w:val="2"/>
          <w:sz w:val="24"/>
          <w:szCs w:val="24"/>
          <w:lang w:val="en-US" w:eastAsia="zh-CN" w:bidi="hi-IN"/>
        </w:rPr>
        <w:t xml:space="preserve">iltered out candidate events with the criteria mentioned in the text, we did </w:t>
      </w:r>
      <w:r>
        <w:rPr>
          <w:rFonts w:eastAsia="Noto Serif CJK SC" w:cs="Lohit Devanagari"/>
          <w:color w:val="18A303"/>
          <w:kern w:val="2"/>
          <w:sz w:val="24"/>
          <w:szCs w:val="24"/>
          <w:lang w:val="en-US" w:eastAsia="zh-CN" w:bidi="hi-IN"/>
        </w:rPr>
        <w:t xml:space="preserve">the manual inspection </w:t>
      </w:r>
      <w:r>
        <w:rPr>
          <w:rFonts w:eastAsia="Noto Serif CJK SC" w:cs="Lohit Devanagari"/>
          <w:color w:val="18A303"/>
          <w:kern w:val="2"/>
          <w:sz w:val="24"/>
          <w:szCs w:val="24"/>
          <w:lang w:val="en-US" w:eastAsia="zh-CN" w:bidi="hi-IN"/>
        </w:rPr>
        <w:t xml:space="preserve">single blindly. In other words, we did the inspection without knowing the results. And we did not go back and adjust our </w:t>
      </w:r>
      <w:r>
        <w:rPr>
          <w:rFonts w:eastAsia="Noto Serif CJK SC" w:cs="Lohit Devanagari"/>
          <w:color w:val="18A303"/>
          <w:kern w:val="2"/>
          <w:sz w:val="24"/>
          <w:szCs w:val="24"/>
          <w:lang w:val="en-US" w:eastAsia="zh-CN" w:bidi="hi-IN"/>
        </w:rPr>
        <w:t xml:space="preserve">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Address this comment once I add in the longitudinal distribution.</w:t>
      </w:r>
      <w:r>
        <w:rPr>
          <w:rFonts w:eastAsia="Noto Serif CJK SC" w:cs="Lohit Devanagari"/>
          <w:color w:val="C9211E"/>
          <w:kern w:val="2"/>
          <w:sz w:val="24"/>
          <w:szCs w:val="24"/>
          <w:lang w:val="en-US" w:eastAsia="zh-CN" w:bidi="hi-IN"/>
        </w:rPr>
        <w:t xml:space="preserve">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w:t>
      </w:r>
      <w:r>
        <w:rPr>
          <w:color w:val="C9211E"/>
        </w:rPr>
        <w:t xml:space="preserve"> </w:t>
      </w:r>
      <w:r>
        <w:rPr>
          <w:color w:val="C9211E"/>
        </w:rPr>
        <w:t>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t>
      </w:r>
      <w:r>
        <w:rPr>
          <w:color w:val="C9211E"/>
        </w:rPr>
        <w:t xml:space="preserve">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color w:val="C9211E"/>
        </w:rPr>
      </w:pPr>
      <w:r>
        <w:rPr>
          <w:color w:val="C9211E"/>
        </w:rPr>
        <w:t>I don’t remember.</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1193</TotalTime>
  <Application>LibreOffice/6.4.6.2$Linux_X86_64 LibreOffice_project/40$Build-2</Application>
  <Pages>9</Pages>
  <Words>3519</Words>
  <Characters>17991</Characters>
  <CharactersWithSpaces>21439</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2020-09-08T16:59:12Z</dcterms:modified>
  <cp:revision>91</cp:revision>
  <dc:subject/>
  <dc:title/>
</cp:coreProperties>
</file>