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20E40CE7" w14:textId="67887A18" w:rsidR="00C878EC" w:rsidRDefault="00B17849" w:rsidP="00371532">
      <w:pPr>
        <w:spacing w:line="240" w:lineRule="auto"/>
        <w:rPr>
          <w:rFonts w:eastAsia="Times New Roman"/>
        </w:rPr>
      </w:pPr>
      <w:r w:rsidRPr="00B17849">
        <w:rPr>
          <w:rFonts w:eastAsia="Times New Roman"/>
          <w:highlight w:val="yellow"/>
        </w:rPr>
        <w:t xml:space="preserve">Not sure exactly how to address this, but </w:t>
      </w:r>
      <w:r w:rsidR="00CE5D6A" w:rsidRPr="00CE5D6A">
        <w:rPr>
          <w:rFonts w:eastAsia="Times New Roman"/>
          <w:highlight w:val="yellow"/>
        </w:rPr>
        <w:t>here is my attempt</w:t>
      </w:r>
    </w:p>
    <w:p w14:paraId="6F8B744D" w14:textId="5464895C"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how </w:t>
      </w:r>
      <w:r w:rsidR="008B5649">
        <w:rPr>
          <w:rFonts w:eastAsia="Times New Roman"/>
          <w:color w:val="00B050"/>
        </w:rPr>
        <w:t>the</w:t>
      </w:r>
      <w:r w:rsidR="00C45A81" w:rsidRPr="00C45A81">
        <w:rPr>
          <w:rFonts w:eastAsia="Times New Roman"/>
          <w:color w:val="00B050"/>
        </w:rPr>
        <w:t xml:space="preserve"> two </w:t>
      </w:r>
      <w:r w:rsidR="008B5649">
        <w:rPr>
          <w:rFonts w:eastAsia="Times New Roman"/>
          <w:color w:val="00B050"/>
        </w:rPr>
        <w:t xml:space="preserve">correlation </w:t>
      </w:r>
      <w:r w:rsidR="00C45A81" w:rsidRPr="00C45A81">
        <w:rPr>
          <w:rFonts w:eastAsia="Times New Roman"/>
          <w:color w:val="00B050"/>
        </w:rPr>
        <w:t xml:space="preserve">windows were completely overlapping. I </w:t>
      </w:r>
      <w:r w:rsidR="00365E05">
        <w:rPr>
          <w:rFonts w:eastAsia="Times New Roman"/>
          <w:color w:val="00B050"/>
        </w:rPr>
        <w:t xml:space="preserve">used </w:t>
      </w:r>
      <w:r w:rsidR="00C45A81" w:rsidRPr="00C45A81">
        <w:rPr>
          <w:rFonts w:eastAsia="Times New Roman"/>
          <w:color w:val="00B050"/>
        </w:rPr>
        <w:t>the maximum</w:t>
      </w:r>
      <w:r w:rsidR="00365E05">
        <w:rPr>
          <w:rFonts w:eastAsia="Times New Roman"/>
          <w:color w:val="00B050"/>
        </w:rPr>
        <w:t xml:space="preserve"> correlation</w:t>
      </w:r>
      <w:r w:rsidR="00C45A81" w:rsidRPr="00C45A81">
        <w:rPr>
          <w:rFonts w:eastAsia="Times New Roman"/>
          <w:color w:val="00B050"/>
        </w:rPr>
        <w:t xml:space="preserve"> value </w:t>
      </w:r>
      <w:r w:rsidR="009B7C52">
        <w:rPr>
          <w:rFonts w:eastAsia="Times New Roman"/>
          <w:color w:val="00B050"/>
        </w:rPr>
        <w:t>from</w:t>
      </w:r>
      <w:r w:rsidR="00C45A81" w:rsidRPr="00C45A81">
        <w:rPr>
          <w:rFonts w:eastAsia="Times New Roman"/>
          <w:color w:val="00B050"/>
        </w:rPr>
        <w:t xml:space="preserve"> the </w:t>
      </w:r>
      <w:r w:rsidR="00832C50">
        <w:rPr>
          <w:rFonts w:eastAsia="Times New Roman"/>
          <w:color w:val="00B050"/>
        </w:rPr>
        <w:t xml:space="preserve">{-1, </w:t>
      </w:r>
      <w:r w:rsidR="00C45A81" w:rsidRPr="00C45A81">
        <w:rPr>
          <w:rFonts w:eastAsia="Times New Roman"/>
          <w:color w:val="00B050"/>
        </w:rPr>
        <w:t>0</w:t>
      </w:r>
      <w:r w:rsidR="00832C50">
        <w:rPr>
          <w:rFonts w:eastAsia="Times New Roman"/>
          <w:color w:val="00B050"/>
        </w:rPr>
        <w:t>, 1}</w:t>
      </w:r>
      <w:r w:rsidR="00C45A81" w:rsidRPr="00C45A81">
        <w:rPr>
          <w:rFonts w:eastAsia="Times New Roman"/>
          <w:color w:val="00B050"/>
        </w:rPr>
        <w:t xml:space="preserve"> </w:t>
      </w:r>
      <w:r w:rsidR="00A90CD4">
        <w:rPr>
          <w:rFonts w:eastAsia="Times New Roman"/>
          <w:color w:val="00B050"/>
        </w:rPr>
        <w:t>data point correlation</w:t>
      </w:r>
      <w:r w:rsidR="00C45A81" w:rsidRPr="00C45A81">
        <w:rPr>
          <w:rFonts w:eastAsia="Times New Roman"/>
          <w:color w:val="00B050"/>
        </w:rPr>
        <w:t xml:space="preserve"> lag</w:t>
      </w:r>
      <w:r w:rsidR="00365E05">
        <w:rPr>
          <w:rFonts w:eastAsia="Times New Roman"/>
          <w:color w:val="00B050"/>
        </w:rPr>
        <w:t>s</w:t>
      </w:r>
      <w:r w:rsidR="00C45A81" w:rsidRPr="00C45A81">
        <w:rPr>
          <w:rFonts w:eastAsia="Times New Roman"/>
          <w:color w:val="00B050"/>
        </w:rPr>
        <w:t xml:space="preserve"> to account for the Poisson noise.</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D362915"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While there were </w:t>
      </w:r>
      <w:r w:rsidR="00254587">
        <w:rPr>
          <w:rFonts w:eastAsia="Times New Roman"/>
          <w:color w:val="00B050"/>
        </w:rPr>
        <w:t xml:space="preserve">some </w:t>
      </w:r>
      <w:r w:rsidR="002D0A5E">
        <w:rPr>
          <w:rFonts w:eastAsia="Times New Roman"/>
          <w:color w:val="00B050"/>
        </w:rPr>
        <w:t xml:space="preserve">microbursts that were 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21D2F6C1" w14:textId="7FBE5448" w:rsidR="00B361BD" w:rsidRDefault="00B361BD" w:rsidP="00371532">
      <w:pPr>
        <w:spacing w:line="240" w:lineRule="auto"/>
        <w:rPr>
          <w:rFonts w:eastAsia="Times New Roman"/>
        </w:rPr>
      </w:pPr>
      <w:r w:rsidRPr="00B17849">
        <w:rPr>
          <w:rFonts w:eastAsia="Times New Roman"/>
          <w:highlight w:val="yellow"/>
        </w:rPr>
        <w:t xml:space="preserve">Not sure exactly how to address this, but </w:t>
      </w:r>
      <w:r w:rsidRPr="00CE5D6A">
        <w:rPr>
          <w:rFonts w:eastAsia="Times New Roman"/>
          <w:highlight w:val="yellow"/>
        </w:rPr>
        <w:t>here is my attempt</w:t>
      </w:r>
    </w:p>
    <w:p w14:paraId="4BFE3122" w14:textId="41FCD859" w:rsidR="0073303E" w:rsidRDefault="00C3023B" w:rsidP="00371532">
      <w:pPr>
        <w:spacing w:line="240" w:lineRule="auto"/>
        <w:rPr>
          <w:rFonts w:eastAsia="Times New Roman"/>
          <w:color w:val="00B050"/>
        </w:rPr>
      </w:pPr>
      <w:r>
        <w:rPr>
          <w:rFonts w:eastAsia="Times New Roman"/>
          <w:color w:val="00B050"/>
        </w:rPr>
        <w:t xml:space="preserve">We are </w:t>
      </w:r>
      <w:r w:rsidR="009C2EE6">
        <w:rPr>
          <w:rFonts w:eastAsia="Times New Roman"/>
          <w:color w:val="00B050"/>
        </w:rPr>
        <w:t>still wondering the same thing</w:t>
      </w:r>
      <w:r>
        <w:rPr>
          <w:rFonts w:eastAsia="Times New Roman"/>
          <w:color w:val="00B050"/>
        </w:rPr>
        <w:t>.</w:t>
      </w:r>
      <w:r w:rsidR="00865225">
        <w:rPr>
          <w:rFonts w:eastAsia="Times New Roman"/>
          <w:color w:val="00B050"/>
        </w:rPr>
        <w:t xml:space="preserve"> One explanation is that </w:t>
      </w:r>
      <w:r w:rsidR="00761ECB">
        <w:rPr>
          <w:rFonts w:eastAsia="Times New Roman"/>
          <w:color w:val="00B050"/>
        </w:rPr>
        <w:t xml:space="preserve">while AC6 were separated by </w:t>
      </w:r>
      <w:r w:rsidR="0073303E">
        <w:rPr>
          <w:rFonts w:eastAsia="Times New Roman"/>
          <w:color w:val="00B050"/>
        </w:rPr>
        <w:t xml:space="preserve">70-80 km </w:t>
      </w:r>
      <w:r w:rsidR="008E0FE7">
        <w:rPr>
          <w:rFonts w:eastAsia="Times New Roman"/>
          <w:color w:val="00B050"/>
        </w:rPr>
        <w:t>they</w:t>
      </w:r>
      <w:r w:rsidR="00761ECB">
        <w:rPr>
          <w:rFonts w:eastAsia="Times New Roman"/>
          <w:color w:val="00B050"/>
        </w:rPr>
        <w:t xml:space="preserve"> </w:t>
      </w:r>
      <w:r w:rsidR="0073303E">
        <w:rPr>
          <w:rFonts w:eastAsia="Times New Roman"/>
          <w:color w:val="00B050"/>
        </w:rPr>
        <w:t xml:space="preserve">had a small number of </w:t>
      </w:r>
      <w:r w:rsidR="00D01554">
        <w:rPr>
          <w:rFonts w:eastAsia="Times New Roman"/>
          <w:color w:val="00B050"/>
        </w:rPr>
        <w:t xml:space="preserve">outer </w:t>
      </w:r>
      <w:r w:rsidR="0073303E">
        <w:rPr>
          <w:rFonts w:eastAsia="Times New Roman"/>
          <w:color w:val="00B050"/>
        </w:rPr>
        <w:t xml:space="preserve">radiation belt passes with </w:t>
      </w:r>
      <w:r w:rsidR="00761ECB">
        <w:rPr>
          <w:rFonts w:eastAsia="Times New Roman"/>
          <w:color w:val="00B050"/>
        </w:rPr>
        <w:t xml:space="preserve">high </w:t>
      </w:r>
      <w:r w:rsidR="0073303E">
        <w:rPr>
          <w:rFonts w:eastAsia="Times New Roman"/>
          <w:color w:val="00B050"/>
        </w:rPr>
        <w:t>AE &gt; 400</w:t>
      </w:r>
      <w:r w:rsidR="00761ECB">
        <w:rPr>
          <w:rFonts w:eastAsia="Times New Roman"/>
          <w:color w:val="00B050"/>
        </w:rPr>
        <w:t xml:space="preserve">. While AC6 were separated between 30 and 60 km there were relatively less </w:t>
      </w:r>
      <w:r w:rsidR="00F53065">
        <w:rPr>
          <w:rFonts w:eastAsia="Times New Roman"/>
          <w:color w:val="00B050"/>
        </w:rPr>
        <w:t>microbursts observed</w:t>
      </w:r>
      <w:r w:rsidR="00761ECB">
        <w:rPr>
          <w:rFonts w:eastAsia="Times New Roman"/>
          <w:color w:val="00B050"/>
        </w:rPr>
        <w:t xml:space="preserve"> at higher AE. </w:t>
      </w:r>
      <w:r w:rsidR="00F53065">
        <w:rPr>
          <w:rFonts w:eastAsia="Times New Roman"/>
          <w:color w:val="00B050"/>
        </w:rPr>
        <w:t>M</w:t>
      </w:r>
      <w:r w:rsidR="00761ECB">
        <w:rPr>
          <w:rFonts w:eastAsia="Times New Roman"/>
          <w:color w:val="00B050"/>
        </w:rPr>
        <w:t>icroburst occurrence rate increases with AE</w:t>
      </w:r>
      <w:r w:rsidR="00F53065">
        <w:rPr>
          <w:rFonts w:eastAsia="Times New Roman"/>
          <w:color w:val="00B050"/>
        </w:rPr>
        <w:t xml:space="preserve"> so </w:t>
      </w:r>
      <w:r w:rsidR="00DC3DDB">
        <w:rPr>
          <w:rFonts w:eastAsia="Times New Roman"/>
          <w:color w:val="00B050"/>
        </w:rPr>
        <w:t xml:space="preserve">AC6 may have been sampling a particularly active time period while it was separated between 70 and 80 km. </w:t>
      </w:r>
      <w:r w:rsidR="00685E20">
        <w:rPr>
          <w:rFonts w:eastAsia="Times New Roman"/>
          <w:color w:val="00B050"/>
        </w:rPr>
        <w:t xml:space="preserve">AC6 observed </w:t>
      </w:r>
      <w:r w:rsidR="0016366D">
        <w:rPr>
          <w:rFonts w:eastAsia="Times New Roman"/>
          <w:color w:val="00B050"/>
        </w:rPr>
        <w:t>these microbursts</w:t>
      </w:r>
      <w:r w:rsidR="00685E20">
        <w:rPr>
          <w:rFonts w:eastAsia="Times New Roman"/>
          <w:color w:val="00B050"/>
        </w:rPr>
        <w:t xml:space="preserve"> over </w:t>
      </w:r>
      <w:r w:rsidR="0016366D">
        <w:rPr>
          <w:rFonts w:eastAsia="Times New Roman"/>
          <w:color w:val="00B050"/>
        </w:rPr>
        <w:t xml:space="preserve">a range of </w:t>
      </w:r>
      <w:r w:rsidR="00685E20">
        <w:rPr>
          <w:rFonts w:eastAsia="Times New Roman"/>
          <w:color w:val="00B050"/>
        </w:rPr>
        <w:t>L shells because the entire radiation belt pass was active.</w:t>
      </w:r>
    </w:p>
    <w:p w14:paraId="5CC90427" w14:textId="4D5ACBED" w:rsidR="004E3B94" w:rsidRPr="00C3023B" w:rsidRDefault="00410238" w:rsidP="00371532">
      <w:pPr>
        <w:spacing w:line="240" w:lineRule="auto"/>
        <w:rPr>
          <w:rFonts w:eastAsia="Times New Roman"/>
          <w:color w:val="00B050"/>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113327CB" w14:textId="77777777" w:rsidR="00954BD7" w:rsidRDefault="004E3B94" w:rsidP="004E3B94">
      <w:pPr>
        <w:pStyle w:val="Default"/>
        <w:rPr>
          <w:color w:val="00B050"/>
          <w:sz w:val="22"/>
          <w:szCs w:val="22"/>
        </w:rPr>
      </w:pPr>
      <w:r>
        <w:rPr>
          <w:color w:val="00B050"/>
          <w:sz w:val="22"/>
          <w:szCs w:val="22"/>
        </w:rPr>
        <w:t xml:space="preserve">Recent studies of chorus wave sizes do not agree on if the chorus sizes are larger at higher L shells. For example, Shen at al., 2019 found that chorus size is larger at larger L shell, but Agapitov et al., 2018 did not find such a trend. These two papers should not be directly compared because Shen at al., 2019 estimated the correlation size distribution, while Agapitov et al., 2018 estimated the amplitude size distribution. Nevertheless, it was our intention to present our evidence of an L-dependent microburst size distribution to the reader. </w:t>
      </w:r>
    </w:p>
    <w:p w14:paraId="3F709151" w14:textId="77777777" w:rsidR="00954BD7" w:rsidRDefault="00954BD7" w:rsidP="004E3B94">
      <w:pPr>
        <w:pStyle w:val="Default"/>
        <w:rPr>
          <w:color w:val="00B050"/>
          <w:sz w:val="22"/>
          <w:szCs w:val="22"/>
        </w:rPr>
      </w:pPr>
    </w:p>
    <w:p w14:paraId="343B519E" w14:textId="728A51C9" w:rsidR="00C878EC" w:rsidRPr="004E3B94" w:rsidRDefault="004E3B94" w:rsidP="004E3B94">
      <w:pPr>
        <w:pStyle w:val="Default"/>
        <w:rPr>
          <w:color w:val="auto"/>
          <w:sz w:val="22"/>
          <w:szCs w:val="22"/>
        </w:rPr>
      </w:pPr>
      <w:r w:rsidRPr="00D20B83">
        <w:rPr>
          <w:color w:val="auto"/>
          <w:sz w:val="22"/>
          <w:szCs w:val="22"/>
          <w:highlight w:val="yellow"/>
        </w:rPr>
        <w:t xml:space="preserve">How should </w:t>
      </w:r>
      <w:r w:rsidRPr="006370BF">
        <w:rPr>
          <w:color w:val="auto"/>
          <w:sz w:val="22"/>
          <w:szCs w:val="22"/>
          <w:highlight w:val="yellow"/>
        </w:rPr>
        <w:t>I address this in the manuscript?</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p>
    <w:p w14:paraId="33D99A20" w14:textId="456810D3" w:rsidR="00410238" w:rsidRPr="008D748D" w:rsidRDefault="00603C5D" w:rsidP="00371532">
      <w:pPr>
        <w:spacing w:line="240" w:lineRule="auto"/>
        <w:rPr>
          <w:b/>
          <w:bCs/>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bookmarkStart w:id="0" w:name="_GoBack"/>
      <w:bookmarkEnd w:id="0"/>
      <w:r w:rsidR="00410238" w:rsidRPr="008D748D">
        <w:rPr>
          <w:rFonts w:eastAsia="Times New Roman"/>
        </w:rPr>
        <w:br/>
      </w:r>
      <w:r w:rsidR="00410238" w:rsidRPr="008D748D">
        <w:rPr>
          <w:rFonts w:eastAsia="Times New Roman"/>
        </w:rPr>
        <w:br/>
        <w:t xml:space="preserve">Figure 3a and 3b, </w:t>
      </w:r>
      <w:proofErr w:type="gramStart"/>
      <w:r w:rsidR="00410238" w:rsidRPr="008D748D">
        <w:rPr>
          <w:rFonts w:eastAsia="Times New Roman"/>
        </w:rPr>
        <w:t>Is</w:t>
      </w:r>
      <w:proofErr w:type="gramEnd"/>
      <w:r w:rsidR="00410238" w:rsidRPr="008D748D">
        <w:rPr>
          <w:rFonts w:eastAsia="Times New Roman"/>
        </w:rPr>
        <w:t xml:space="preserve"> it possible to shift each point to match the center of each bin in Figure 3c for an easier way to see the one-to-one correspondence? Same for Figure 4.</w:t>
      </w:r>
      <w:r w:rsidR="00410238"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02653FA8"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in </w:t>
      </w:r>
      <w:r w:rsidR="00A71AB0">
        <w:rPr>
          <w:color w:val="00B050"/>
          <w:sz w:val="22"/>
          <w:szCs w:val="22"/>
        </w:rPr>
        <w:t>fact,</w:t>
      </w:r>
      <w:r w:rsidR="00D1567A">
        <w:rPr>
          <w:color w:val="00B050"/>
          <w:sz w:val="22"/>
          <w:szCs w:val="22"/>
        </w:rPr>
        <w:t xml:space="preserve"> I would almost call it ideal.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xml:space="preserve">. As I mentioned towards the end of the manuscript, a homogeneous MLT </w:t>
      </w:r>
      <w:r w:rsidR="000F6D2A">
        <w:rPr>
          <w:color w:val="00B050"/>
          <w:sz w:val="22"/>
          <w:szCs w:val="22"/>
        </w:rPr>
        <w:t xml:space="preserve">coverage </w:t>
      </w:r>
      <w:r>
        <w:rPr>
          <w:color w:val="00B050"/>
          <w:sz w:val="22"/>
          <w:szCs w:val="22"/>
        </w:rPr>
        <w:t>would be nice, but that would mean that AC6 would have spent</w:t>
      </w:r>
      <w:r w:rsidR="003D59E2">
        <w:rPr>
          <w:color w:val="00B050"/>
          <w:sz w:val="22"/>
          <w:szCs w:val="22"/>
        </w:rPr>
        <w:t xml:space="preserve"> much</w:t>
      </w:r>
      <w:r>
        <w:rPr>
          <w:color w:val="00B050"/>
          <w:sz w:val="22"/>
          <w:szCs w:val="22"/>
        </w:rPr>
        <w:t xml:space="preserve"> less time in the 8-12 MLT region</w:t>
      </w:r>
      <w:r w:rsidR="009A120F">
        <w:rPr>
          <w:color w:val="00B050"/>
          <w:sz w:val="22"/>
          <w:szCs w:val="22"/>
        </w:rPr>
        <w:t xml:space="preserve"> and sampled </w:t>
      </w:r>
      <w:r w:rsidR="00DA32CA">
        <w:rPr>
          <w:color w:val="00B050"/>
          <w:sz w:val="22"/>
          <w:szCs w:val="22"/>
        </w:rPr>
        <w:t>a</w:t>
      </w:r>
      <w:r w:rsidR="009A120F">
        <w:rPr>
          <w:color w:val="00B050"/>
          <w:sz w:val="22"/>
          <w:szCs w:val="22"/>
        </w:rPr>
        <w:t xml:space="preserve"> larger MLT </w:t>
      </w:r>
      <w:r w:rsidR="00DA32CA">
        <w:rPr>
          <w:color w:val="00B050"/>
          <w:sz w:val="22"/>
          <w:szCs w:val="22"/>
        </w:rPr>
        <w:t>region</w:t>
      </w:r>
      <w:r w:rsidR="009A120F">
        <w:rPr>
          <w:color w:val="00B050"/>
          <w:sz w:val="22"/>
          <w:szCs w:val="22"/>
        </w:rPr>
        <w:t xml:space="preserve"> where little to no microbursts are typically observed</w:t>
      </w:r>
      <w:r>
        <w:rPr>
          <w:color w:val="00B050"/>
          <w:sz w:val="22"/>
          <w:szCs w:val="22"/>
        </w:rPr>
        <w:t xml:space="preserve">.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r w:rsidR="00F1581D" w:rsidRPr="00F1581D">
        <w:rPr>
          <w:color w:val="auto"/>
          <w:sz w:val="22"/>
          <w:szCs w:val="22"/>
          <w:highlight w:val="yellow"/>
        </w:rPr>
        <w:t>Need to double check</w:t>
      </w:r>
    </w:p>
    <w:p w14:paraId="79D8FC9B" w14:textId="77777777" w:rsidR="00AC45B2" w:rsidRPr="008D748D" w:rsidRDefault="00AC45B2" w:rsidP="00326215">
      <w:pPr>
        <w:pStyle w:val="Default"/>
        <w:rPr>
          <w:sz w:val="22"/>
          <w:szCs w:val="22"/>
        </w:rPr>
      </w:pPr>
    </w:p>
    <w:p w14:paraId="48A4C72F" w14:textId="05627CBF" w:rsidR="00326215"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2E585E1D" w14:textId="48A3A983" w:rsidR="008F0EA8" w:rsidRPr="006370BF" w:rsidRDefault="008F0EA8" w:rsidP="00326215">
      <w:pPr>
        <w:pStyle w:val="Default"/>
        <w:rPr>
          <w:color w:val="auto"/>
          <w:sz w:val="22"/>
          <w:szCs w:val="22"/>
        </w:rPr>
      </w:pPr>
      <w:r>
        <w:rPr>
          <w:color w:val="00B050"/>
          <w:sz w:val="22"/>
          <w:szCs w:val="22"/>
        </w:rPr>
        <w:t xml:space="preserve">Recent studies of chorus wave sizes do not agree on if the chorus sizes are larger at higher L shells. For example, Shen at al., 2019 found that chorus size is larger at larger L shell, but </w:t>
      </w:r>
      <w:bookmarkStart w:id="1" w:name="_Hlk28264877"/>
      <w:r>
        <w:rPr>
          <w:color w:val="00B050"/>
          <w:sz w:val="22"/>
          <w:szCs w:val="22"/>
        </w:rPr>
        <w:t>Agapitov et al., 2018</w:t>
      </w:r>
      <w:bookmarkEnd w:id="1"/>
      <w:r>
        <w:rPr>
          <w:color w:val="00B050"/>
          <w:sz w:val="22"/>
          <w:szCs w:val="22"/>
        </w:rPr>
        <w:t xml:space="preserve"> did not find </w:t>
      </w:r>
      <w:r w:rsidR="00414064">
        <w:rPr>
          <w:color w:val="00B050"/>
          <w:sz w:val="22"/>
          <w:szCs w:val="22"/>
        </w:rPr>
        <w:t xml:space="preserve">such </w:t>
      </w:r>
      <w:r>
        <w:rPr>
          <w:color w:val="00B050"/>
          <w:sz w:val="22"/>
          <w:szCs w:val="22"/>
        </w:rPr>
        <w:t xml:space="preserve">a trend. </w:t>
      </w:r>
      <w:r w:rsidR="006B0EBF">
        <w:rPr>
          <w:color w:val="00B050"/>
          <w:sz w:val="22"/>
          <w:szCs w:val="22"/>
        </w:rPr>
        <w:t>T</w:t>
      </w:r>
      <w:r w:rsidR="0006148C">
        <w:rPr>
          <w:color w:val="00B050"/>
          <w:sz w:val="22"/>
          <w:szCs w:val="22"/>
        </w:rPr>
        <w:t>hese two papers should not be directly compared because Shen at al., 2019 estimated the correlation size distribution, while Agapitov et al., 2018 estimated the amplitude size distribution.</w:t>
      </w:r>
      <w:r w:rsidR="000F7085">
        <w:rPr>
          <w:color w:val="00B050"/>
          <w:sz w:val="22"/>
          <w:szCs w:val="22"/>
        </w:rPr>
        <w:t xml:space="preserve"> Nevertheless, it was our intention to present</w:t>
      </w:r>
      <w:r w:rsidR="00D87ECD">
        <w:rPr>
          <w:color w:val="00B050"/>
          <w:sz w:val="22"/>
          <w:szCs w:val="22"/>
        </w:rPr>
        <w:t xml:space="preserve"> </w:t>
      </w:r>
      <w:r w:rsidR="000F7085">
        <w:rPr>
          <w:color w:val="00B050"/>
          <w:sz w:val="22"/>
          <w:szCs w:val="22"/>
        </w:rPr>
        <w:t xml:space="preserve">our evidence of an </w:t>
      </w:r>
      <w:r>
        <w:rPr>
          <w:color w:val="00B050"/>
          <w:sz w:val="22"/>
          <w:szCs w:val="22"/>
        </w:rPr>
        <w:t>L-dependent microburst size distribution</w:t>
      </w:r>
      <w:r w:rsidR="00D87ECD">
        <w:rPr>
          <w:color w:val="00B050"/>
          <w:sz w:val="22"/>
          <w:szCs w:val="22"/>
        </w:rPr>
        <w:t xml:space="preserve"> to the reader.</w:t>
      </w:r>
      <w:r w:rsidR="006370BF">
        <w:rPr>
          <w:color w:val="00B050"/>
          <w:sz w:val="22"/>
          <w:szCs w:val="22"/>
        </w:rPr>
        <w:t xml:space="preserve"> </w:t>
      </w:r>
      <w:r w:rsidR="00D20B83" w:rsidRPr="00D20B83">
        <w:rPr>
          <w:color w:val="auto"/>
          <w:sz w:val="22"/>
          <w:szCs w:val="22"/>
          <w:highlight w:val="yellow"/>
        </w:rPr>
        <w:t>How s</w:t>
      </w:r>
      <w:r w:rsidR="006370BF" w:rsidRPr="00D20B83">
        <w:rPr>
          <w:color w:val="auto"/>
          <w:sz w:val="22"/>
          <w:szCs w:val="22"/>
          <w:highlight w:val="yellow"/>
        </w:rPr>
        <w:t xml:space="preserve">hould </w:t>
      </w:r>
      <w:r w:rsidR="006370BF" w:rsidRPr="006370BF">
        <w:rPr>
          <w:color w:val="auto"/>
          <w:sz w:val="22"/>
          <w:szCs w:val="22"/>
          <w:highlight w:val="yellow"/>
        </w:rPr>
        <w:t>I address this in the manuscript?</w:t>
      </w:r>
    </w:p>
    <w:p w14:paraId="3A3B16BC" w14:textId="77777777" w:rsidR="00AC45B2" w:rsidRPr="008D748D" w:rsidRDefault="00AC45B2" w:rsidP="00326215">
      <w:pPr>
        <w:pStyle w:val="Default"/>
        <w:rPr>
          <w:sz w:val="22"/>
          <w:szCs w:val="22"/>
        </w:rPr>
      </w:pP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411E8D3E" w:rsidR="00326215" w:rsidRDefault="00326215" w:rsidP="00326215">
      <w:pPr>
        <w:pStyle w:val="Default"/>
        <w:rPr>
          <w:sz w:val="22"/>
          <w:szCs w:val="22"/>
        </w:rPr>
      </w:pPr>
      <w:r w:rsidRPr="008D748D">
        <w:rPr>
          <w:sz w:val="22"/>
          <w:szCs w:val="22"/>
        </w:rPr>
        <w:t xml:space="preserve">Lines 154-155: What is ‘good’? </w:t>
      </w:r>
    </w:p>
    <w:p w14:paraId="4C1D4E3B" w14:textId="3033715F" w:rsidR="0095031B" w:rsidRPr="008D748D" w:rsidRDefault="0095031B" w:rsidP="00326215">
      <w:pPr>
        <w:pStyle w:val="Default"/>
        <w:rPr>
          <w:sz w:val="22"/>
          <w:szCs w:val="22"/>
        </w:rPr>
      </w:pPr>
      <w:r w:rsidRPr="0095031B">
        <w:rPr>
          <w:sz w:val="22"/>
          <w:szCs w:val="22"/>
          <w:highlight w:val="yellow"/>
        </w:rPr>
        <w:t>Not sure about this</w:t>
      </w:r>
    </w:p>
    <w:p w14:paraId="65D5AAED" w14:textId="77777777" w:rsidR="00AC45B2" w:rsidRPr="008D748D" w:rsidRDefault="00AC45B2" w:rsidP="00326215">
      <w:pPr>
        <w:pStyle w:val="Default"/>
        <w:rPr>
          <w:sz w:val="22"/>
          <w:szCs w:val="22"/>
        </w:rPr>
      </w:pPr>
    </w:p>
    <w:p w14:paraId="066E408D" w14:textId="3EAE7977" w:rsidR="00326215"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4676B142" w14:textId="2D920A0D" w:rsidR="002971CB" w:rsidRPr="008D748D" w:rsidRDefault="002971CB" w:rsidP="00326215">
      <w:pPr>
        <w:pStyle w:val="Default"/>
        <w:rPr>
          <w:sz w:val="22"/>
          <w:szCs w:val="22"/>
        </w:rPr>
      </w:pPr>
      <w:r w:rsidRPr="00CF08C8">
        <w:rPr>
          <w:sz w:val="22"/>
          <w:szCs w:val="22"/>
          <w:highlight w:val="yellow"/>
        </w:rPr>
        <w:t>Not sure how the reviewer wants me to respond. Manuscript says “</w:t>
      </w:r>
      <w:r w:rsidRPr="00CF08C8">
        <w:rPr>
          <w:sz w:val="22"/>
          <w:szCs w:val="22"/>
          <w:highlight w:val="yellow"/>
        </w:rPr>
        <w:t>The equatorial PDF trend is similar to LEO and most of the microbursts were observed when the AC6 equatorial separation was less than 200 km.</w:t>
      </w:r>
      <w:r w:rsidRPr="00CF08C8">
        <w:rPr>
          <w:sz w:val="22"/>
          <w:szCs w:val="22"/>
          <w:highlight w:val="yellow"/>
        </w:rPr>
        <w:t>” Maybe I should reword is to</w:t>
      </w:r>
      <w:r w:rsidR="00CF08C8" w:rsidRPr="00CF08C8">
        <w:rPr>
          <w:sz w:val="22"/>
          <w:szCs w:val="22"/>
          <w:highlight w:val="yellow"/>
        </w:rPr>
        <w:t xml:space="preserve">: “The equatorial F(s) drop off </w:t>
      </w:r>
      <w:r w:rsidR="00521663">
        <w:rPr>
          <w:sz w:val="22"/>
          <w:szCs w:val="22"/>
          <w:highlight w:val="yellow"/>
        </w:rPr>
        <w:t xml:space="preserve">at small equatorial separations </w:t>
      </w:r>
      <w:r w:rsidR="00CF08C8" w:rsidRPr="00CF08C8">
        <w:rPr>
          <w:sz w:val="22"/>
          <w:szCs w:val="22"/>
          <w:highlight w:val="yellow"/>
        </w:rPr>
        <w:t>is similar but scaled to the</w:t>
      </w:r>
      <w:r w:rsidR="00277243">
        <w:rPr>
          <w:sz w:val="22"/>
          <w:szCs w:val="22"/>
          <w:highlight w:val="yellow"/>
        </w:rPr>
        <w:t xml:space="preserve"> similar feature in the</w:t>
      </w:r>
      <w:r w:rsidR="00CF08C8" w:rsidRPr="00CF08C8">
        <w:rPr>
          <w:sz w:val="22"/>
          <w:szCs w:val="22"/>
          <w:highlight w:val="yellow"/>
        </w:rPr>
        <w:t xml:space="preserve"> LEO F(s). </w:t>
      </w:r>
      <w:r w:rsidR="00330BDB">
        <w:rPr>
          <w:sz w:val="22"/>
          <w:szCs w:val="22"/>
          <w:highlight w:val="yellow"/>
        </w:rPr>
        <w:t>Most</w:t>
      </w:r>
      <w:r w:rsidR="00CF08C8" w:rsidRPr="00CF08C8">
        <w:rPr>
          <w:sz w:val="22"/>
          <w:szCs w:val="22"/>
          <w:highlight w:val="yellow"/>
        </w:rPr>
        <w:t xml:space="preserve"> of the microbursts were observed when the AC6 equatorial separation was less than 200 km</w:t>
      </w:r>
      <w:r w:rsidR="00CF08C8" w:rsidRPr="00CF08C8">
        <w:rPr>
          <w:sz w:val="22"/>
          <w:szCs w:val="22"/>
          <w:highlight w:val="yellow"/>
        </w:rPr>
        <w:t>.”</w:t>
      </w:r>
    </w:p>
    <w:p w14:paraId="33F75ECC" w14:textId="77777777" w:rsidR="00AC45B2" w:rsidRPr="008D748D" w:rsidRDefault="00AC45B2" w:rsidP="00326215">
      <w:pPr>
        <w:pStyle w:val="Default"/>
        <w:rPr>
          <w:sz w:val="22"/>
          <w:szCs w:val="22"/>
        </w:rPr>
      </w:pPr>
    </w:p>
    <w:p w14:paraId="63EA61BB" w14:textId="31B4228B" w:rsidR="00FB385B" w:rsidRDefault="00326215" w:rsidP="00326215">
      <w:pPr>
        <w:pStyle w:val="Default"/>
        <w:rPr>
          <w:sz w:val="22"/>
          <w:szCs w:val="22"/>
        </w:rPr>
      </w:pPr>
      <w:r w:rsidRPr="008D748D">
        <w:rPr>
          <w:sz w:val="22"/>
          <w:szCs w:val="22"/>
        </w:rPr>
        <w:t xml:space="preserve">Line 314: Small typo: “must less” -&gt; “must be less” </w:t>
      </w:r>
    </w:p>
    <w:p w14:paraId="4EAF0410" w14:textId="3D840085" w:rsidR="00326215" w:rsidRPr="000A0D9C" w:rsidRDefault="000A0D9C" w:rsidP="00326215">
      <w:pPr>
        <w:pStyle w:val="Default"/>
        <w:rPr>
          <w:color w:val="00B050"/>
          <w:sz w:val="22"/>
          <w:szCs w:val="22"/>
        </w:rPr>
      </w:pPr>
      <w:r w:rsidRPr="000A0D9C">
        <w:rPr>
          <w:color w:val="00B050"/>
          <w:sz w:val="22"/>
          <w:szCs w:val="22"/>
        </w:rPr>
        <w:t>Done</w:t>
      </w:r>
    </w:p>
    <w:p w14:paraId="7C43FFC4" w14:textId="77777777" w:rsidR="00AC45B2" w:rsidRPr="008D748D" w:rsidRDefault="00AC45B2" w:rsidP="00326215">
      <w:pPr>
        <w:pStyle w:val="Default"/>
        <w:rPr>
          <w:sz w:val="22"/>
          <w:szCs w:val="22"/>
        </w:rPr>
      </w:pPr>
    </w:p>
    <w:p w14:paraId="02529B16" w14:textId="4192201C" w:rsidR="00FB385B" w:rsidRDefault="00326215" w:rsidP="00FB385B">
      <w:pPr>
        <w:spacing w:line="240" w:lineRule="auto"/>
      </w:pPr>
      <w:r w:rsidRPr="008D748D">
        <w:t xml:space="preserve">Line 432: Does nature </w:t>
      </w:r>
      <w:r w:rsidR="00FB385B" w:rsidRPr="008D748D">
        <w:t>prefer</w:t>
      </w:r>
      <w:r w:rsidRPr="008D748D">
        <w:t xml:space="preserve"> a microburst PDF? What do you mean? Maybe it’s the PDF that nature most resembles?</w:t>
      </w:r>
    </w:p>
    <w:p w14:paraId="4392BEC4" w14:textId="56652BEA" w:rsidR="007868D2" w:rsidRPr="00FB385B" w:rsidRDefault="007868D2" w:rsidP="00FB385B">
      <w:pPr>
        <w:spacing w:line="240" w:lineRule="auto"/>
      </w:pPr>
      <w:r w:rsidRPr="007868D2">
        <w:rPr>
          <w:color w:val="00B050"/>
        </w:rPr>
        <w:t>Done</w:t>
      </w:r>
    </w:p>
    <w:sectPr w:rsidR="007868D2" w:rsidRPr="00FB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7329F"/>
    <w:rsid w:val="00086DF1"/>
    <w:rsid w:val="00090E5D"/>
    <w:rsid w:val="000A0D9C"/>
    <w:rsid w:val="000B3FA7"/>
    <w:rsid w:val="000C2BD8"/>
    <w:rsid w:val="000F6D2A"/>
    <w:rsid w:val="000F7085"/>
    <w:rsid w:val="00144590"/>
    <w:rsid w:val="0015765F"/>
    <w:rsid w:val="0016366D"/>
    <w:rsid w:val="001740DE"/>
    <w:rsid w:val="001A5EB6"/>
    <w:rsid w:val="001D29A2"/>
    <w:rsid w:val="00207416"/>
    <w:rsid w:val="00212DC7"/>
    <w:rsid w:val="00230F98"/>
    <w:rsid w:val="00254587"/>
    <w:rsid w:val="00277243"/>
    <w:rsid w:val="002971CB"/>
    <w:rsid w:val="002D0A5E"/>
    <w:rsid w:val="00326215"/>
    <w:rsid w:val="00330BDB"/>
    <w:rsid w:val="00335AEB"/>
    <w:rsid w:val="00365E05"/>
    <w:rsid w:val="00371532"/>
    <w:rsid w:val="003D59E2"/>
    <w:rsid w:val="00410238"/>
    <w:rsid w:val="00414064"/>
    <w:rsid w:val="00467A9F"/>
    <w:rsid w:val="004C7331"/>
    <w:rsid w:val="004D7E1A"/>
    <w:rsid w:val="004E3B94"/>
    <w:rsid w:val="00500067"/>
    <w:rsid w:val="00501E79"/>
    <w:rsid w:val="00521663"/>
    <w:rsid w:val="005338DB"/>
    <w:rsid w:val="0054099C"/>
    <w:rsid w:val="005B5B29"/>
    <w:rsid w:val="005C3758"/>
    <w:rsid w:val="005F24DB"/>
    <w:rsid w:val="00603C5D"/>
    <w:rsid w:val="00623404"/>
    <w:rsid w:val="006370BF"/>
    <w:rsid w:val="00670CD5"/>
    <w:rsid w:val="00671079"/>
    <w:rsid w:val="00685E20"/>
    <w:rsid w:val="006B0EBF"/>
    <w:rsid w:val="006C6D6D"/>
    <w:rsid w:val="006F7DB8"/>
    <w:rsid w:val="00713079"/>
    <w:rsid w:val="0073303E"/>
    <w:rsid w:val="00761ECB"/>
    <w:rsid w:val="007868D2"/>
    <w:rsid w:val="008021C9"/>
    <w:rsid w:val="008322C9"/>
    <w:rsid w:val="00832C50"/>
    <w:rsid w:val="0085500E"/>
    <w:rsid w:val="00865225"/>
    <w:rsid w:val="00867BA4"/>
    <w:rsid w:val="00886F15"/>
    <w:rsid w:val="008A6DA8"/>
    <w:rsid w:val="008B5649"/>
    <w:rsid w:val="008D748D"/>
    <w:rsid w:val="008E0FE7"/>
    <w:rsid w:val="008F0EA8"/>
    <w:rsid w:val="0095031B"/>
    <w:rsid w:val="00954BD7"/>
    <w:rsid w:val="009A120F"/>
    <w:rsid w:val="009A6533"/>
    <w:rsid w:val="009A7BC4"/>
    <w:rsid w:val="009B7C52"/>
    <w:rsid w:val="009C0803"/>
    <w:rsid w:val="009C2EE6"/>
    <w:rsid w:val="00A40D0A"/>
    <w:rsid w:val="00A57DB9"/>
    <w:rsid w:val="00A71AB0"/>
    <w:rsid w:val="00A90CD4"/>
    <w:rsid w:val="00AA11A9"/>
    <w:rsid w:val="00AC45B2"/>
    <w:rsid w:val="00B17849"/>
    <w:rsid w:val="00B32EAD"/>
    <w:rsid w:val="00B361BD"/>
    <w:rsid w:val="00B654A5"/>
    <w:rsid w:val="00BE4B3F"/>
    <w:rsid w:val="00BF7EBA"/>
    <w:rsid w:val="00C17206"/>
    <w:rsid w:val="00C3023B"/>
    <w:rsid w:val="00C45A81"/>
    <w:rsid w:val="00C6412A"/>
    <w:rsid w:val="00C878EC"/>
    <w:rsid w:val="00CA2E46"/>
    <w:rsid w:val="00CA322D"/>
    <w:rsid w:val="00CE08A6"/>
    <w:rsid w:val="00CE5D6A"/>
    <w:rsid w:val="00CF08C8"/>
    <w:rsid w:val="00D01554"/>
    <w:rsid w:val="00D06B5D"/>
    <w:rsid w:val="00D1567A"/>
    <w:rsid w:val="00D20B83"/>
    <w:rsid w:val="00D73C62"/>
    <w:rsid w:val="00D87ECD"/>
    <w:rsid w:val="00D938AC"/>
    <w:rsid w:val="00DA32CA"/>
    <w:rsid w:val="00DC3DDB"/>
    <w:rsid w:val="00DF6336"/>
    <w:rsid w:val="00DF6C98"/>
    <w:rsid w:val="00E256A3"/>
    <w:rsid w:val="00E41647"/>
    <w:rsid w:val="00E70CFB"/>
    <w:rsid w:val="00E820D4"/>
    <w:rsid w:val="00F1253F"/>
    <w:rsid w:val="00F1581D"/>
    <w:rsid w:val="00F44B39"/>
    <w:rsid w:val="00F53065"/>
    <w:rsid w:val="00F645F4"/>
    <w:rsid w:val="00FB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4514</TotalTime>
  <Pages>1</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104</cp:revision>
  <dcterms:created xsi:type="dcterms:W3CDTF">2019-12-21T00:33:00Z</dcterms:created>
  <dcterms:modified xsi:type="dcterms:W3CDTF">2019-12-27T04:08:00Z</dcterms:modified>
</cp:coreProperties>
</file>