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BCF329F" w:rsidR="008322C9" w:rsidRPr="008D748D" w:rsidRDefault="00EE15DE" w:rsidP="008322C9">
      <w:pPr>
        <w:spacing w:line="240" w:lineRule="auto"/>
        <w:jc w:val="right"/>
      </w:pPr>
      <w:r>
        <w:t>8</w:t>
      </w:r>
      <w:r w:rsidR="008322C9" w:rsidRPr="008D748D">
        <w:t xml:space="preserve"> </w:t>
      </w:r>
      <w:r>
        <w:t>January 2020</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3905E1E" w:rsidR="00371532" w:rsidRDefault="00371532" w:rsidP="00371532">
      <w:pPr>
        <w:spacing w:line="240" w:lineRule="auto"/>
      </w:pPr>
      <w:r w:rsidRPr="008D748D">
        <w:tab/>
      </w:r>
      <w:r w:rsidR="00AE10AF">
        <w:t>Happy holidays and t</w:t>
      </w:r>
      <w:r w:rsidR="00867BA4">
        <w:t xml:space="preserve">hank you for taking your </w:t>
      </w:r>
      <w:r w:rsidR="00CE0CA3">
        <w:t xml:space="preserve">valuable </w:t>
      </w:r>
      <w:r w:rsidR="00867BA4">
        <w:t xml:space="preserve">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465C3A59" w14:textId="267EDC4C" w:rsidR="00255B58" w:rsidRPr="008D748D" w:rsidRDefault="0039299A" w:rsidP="000608B8">
      <w:pPr>
        <w:spacing w:line="240" w:lineRule="auto"/>
        <w:ind w:firstLine="720"/>
      </w:pPr>
      <w:r>
        <w:t>In addition to your comments</w:t>
      </w:r>
      <w:r w:rsidR="00273D83">
        <w:t xml:space="preserve"> </w:t>
      </w:r>
      <w:r>
        <w:t>w</w:t>
      </w:r>
      <w:r w:rsidR="00255B58">
        <w:t xml:space="preserve">e made a minor change </w:t>
      </w:r>
      <w:r w:rsidR="00110B1E">
        <w:t>to the appendix f</w:t>
      </w:r>
      <w:r w:rsidR="00110B1E">
        <w:t>igure A1</w:t>
      </w:r>
      <w:r w:rsidR="00110B1E">
        <w:t xml:space="preserve"> that was</w:t>
      </w:r>
      <w:r w:rsidR="00255B58">
        <w:t xml:space="preserve"> requested by one of the authors. The scatter plot points and error</w:t>
      </w:r>
      <w:r w:rsidR="00E223CD">
        <w:t xml:space="preserve"> bars</w:t>
      </w:r>
      <w:r w:rsidR="00255B58">
        <w:t xml:space="preserve"> </w:t>
      </w:r>
      <w:r w:rsidR="00E223CD">
        <w:t>in F</w:t>
      </w:r>
      <w:r w:rsidR="00255B58">
        <w:t>igure A1</w:t>
      </w:r>
      <w:r w:rsidR="00414F40">
        <w:t>, panels a and b,</w:t>
      </w:r>
      <w:r w:rsidR="00255B58">
        <w:t xml:space="preserve"> </w:t>
      </w:r>
      <w:r w:rsidR="00414F40">
        <w:t>were updated</w:t>
      </w:r>
      <w:r w:rsidR="00255B58">
        <w:t xml:space="preserve"> </w:t>
      </w:r>
      <w:r w:rsidR="00C708E0">
        <w:t>using</w:t>
      </w:r>
      <w:r w:rsidR="00414F40">
        <w:t xml:space="preserve"> the </w:t>
      </w:r>
      <w:r w:rsidR="00C708E0">
        <w:t>identical</w:t>
      </w:r>
      <w:r w:rsidR="00E3147D">
        <w:t xml:space="preserve"> </w:t>
      </w:r>
      <w:r w:rsidR="00414F40">
        <w:t xml:space="preserve">method used </w:t>
      </w:r>
      <w:r w:rsidR="00E3147D">
        <w:t xml:space="preserve">in the </w:t>
      </w:r>
      <w:r w:rsidR="00414F40">
        <w:t>Agapitov</w:t>
      </w:r>
      <w:r w:rsidR="00255B58">
        <w:t xml:space="preserve"> et al., 2018 study.</w:t>
      </w:r>
      <w:r w:rsidR="00036FFF">
        <w:t xml:space="preserve"> This change does not </w:t>
      </w:r>
      <w:r w:rsidR="00C527B6">
        <w:t>affect</w:t>
      </w:r>
      <w:r w:rsidR="00036FFF">
        <w:t xml:space="preserve"> the main results, and Figure A1 panel c is the same.</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 xml:space="preserve">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w:t>
      </w:r>
      <w:proofErr w:type="gramStart"/>
      <w:r w:rsidRPr="008D748D">
        <w:rPr>
          <w:rFonts w:eastAsia="Times New Roman"/>
        </w:rPr>
        <w:t>compelling</w:t>
      </w:r>
      <w:proofErr w:type="gramEnd"/>
      <w:r w:rsidRPr="008D748D">
        <w:rPr>
          <w:rFonts w:eastAsia="Times New Roman"/>
        </w:rPr>
        <w:t xml:space="preserve"> and the manuscript is well-</w:t>
      </w:r>
      <w:r w:rsidR="00C878EC" w:rsidRPr="008D748D">
        <w:rPr>
          <w:rFonts w:eastAsia="Times New Roman"/>
        </w:rPr>
        <w:t>organized</w:t>
      </w:r>
      <w:r w:rsidRPr="008D748D">
        <w:rPr>
          <w:rFonts w:eastAsia="Times New Roman"/>
        </w:rPr>
        <w:t xml:space="preserve"> and well-written. This reviewer </w:t>
      </w:r>
      <w:proofErr w:type="gramStart"/>
      <w:r w:rsidRPr="008D748D">
        <w:rPr>
          <w:rFonts w:eastAsia="Times New Roman"/>
        </w:rPr>
        <w:t>recommend</w:t>
      </w:r>
      <w:proofErr w:type="gramEnd"/>
      <w:r w:rsidRPr="008D748D">
        <w:rPr>
          <w:rFonts w:eastAsia="Times New Roman"/>
        </w:rPr>
        <w:t xml:space="preserve">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7D32884F"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r w:rsidR="005C2227">
        <w:rPr>
          <w:rFonts w:eastAsia="Times New Roman"/>
          <w:color w:val="00B050"/>
        </w:rPr>
        <w:t>.</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lastRenderedPageBreak/>
        <w:br/>
        <w:t>(b) Lines 182-185, Is there an overlapped time period between two successive CC calculations? Is there a time lag introduced to the CC calculation?</w:t>
      </w:r>
      <w:r w:rsidR="00B17849">
        <w:rPr>
          <w:rFonts w:eastAsia="Times New Roman"/>
        </w:rPr>
        <w:t xml:space="preserve"> </w:t>
      </w:r>
    </w:p>
    <w:p w14:paraId="6F8B744D" w14:textId="0D4EBCAF"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w:t>
      </w:r>
      <w:r w:rsidR="00ED6932">
        <w:rPr>
          <w:rFonts w:eastAsia="Times New Roman"/>
          <w:color w:val="00B050"/>
        </w:rPr>
        <w:t xml:space="preserve"> between the 1 and 1.2 second windows</w:t>
      </w:r>
      <w:r w:rsidR="00550462">
        <w:rPr>
          <w:rFonts w:eastAsia="Times New Roman"/>
          <w:color w:val="00B050"/>
        </w:rPr>
        <w:t xml:space="preserve">. Two </w:t>
      </w:r>
      <w:r w:rsidR="00D021FF">
        <w:rPr>
          <w:rFonts w:eastAsia="Times New Roman"/>
          <w:color w:val="00B050"/>
        </w:rPr>
        <w:t xml:space="preserve">correlations </w:t>
      </w:r>
      <w:r w:rsidR="00550462">
        <w:rPr>
          <w:rFonts w:eastAsia="Times New Roman"/>
          <w:color w:val="00B050"/>
        </w:rPr>
        <w:t>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68E8A64D"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 xml:space="preserve">almost identical – the &lt; 20 km drop off and the </w:t>
      </w:r>
      <w:r w:rsidR="006F5B14">
        <w:rPr>
          <w:rFonts w:eastAsia="Times New Roman"/>
          <w:color w:val="00B050"/>
        </w:rPr>
        <w:t>6</w:t>
      </w:r>
      <w:r w:rsidR="00DF6C98">
        <w:rPr>
          <w:rFonts w:eastAsia="Times New Roman"/>
          <w:color w:val="00B050"/>
        </w:rPr>
        <w:t>0</w:t>
      </w:r>
      <w:r w:rsidR="009C0803">
        <w:rPr>
          <w:rFonts w:eastAsia="Times New Roman"/>
          <w:color w:val="00B050"/>
        </w:rPr>
        <w:t>-</w:t>
      </w:r>
      <w:r w:rsidR="006F5B14">
        <w:rPr>
          <w:rFonts w:eastAsia="Times New Roman"/>
          <w:color w:val="00B050"/>
        </w:rPr>
        <w:t>7</w:t>
      </w:r>
      <w:r w:rsidR="009C0803">
        <w:rPr>
          <w:rFonts w:eastAsia="Times New Roman"/>
          <w:color w:val="00B050"/>
        </w:rPr>
        <w:t xml:space="preserve">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6FA65510" w14:textId="388480A1" w:rsidR="00822909" w:rsidRPr="00315B47" w:rsidRDefault="00D229B3" w:rsidP="00371532">
      <w:pPr>
        <w:spacing w:line="240" w:lineRule="auto"/>
        <w:rPr>
          <w:rFonts w:eastAsia="Times New Roman"/>
        </w:rPr>
      </w:pPr>
      <w:r w:rsidRPr="00D229B3">
        <w:rPr>
          <w:rFonts w:eastAsia="Times New Roman"/>
          <w:color w:val="00B050"/>
        </w:rPr>
        <w:t>We apologize</w:t>
      </w:r>
      <w:r w:rsidR="00073E78">
        <w:rPr>
          <w:rFonts w:eastAsia="Times New Roman"/>
          <w:color w:val="00B050"/>
        </w:rPr>
        <w:t xml:space="preserve"> and</w:t>
      </w:r>
      <w:r w:rsidRPr="00D229B3">
        <w:rPr>
          <w:rFonts w:eastAsia="Times New Roman"/>
          <w:color w:val="00B050"/>
        </w:rPr>
        <w:t xml:space="preserve"> </w:t>
      </w:r>
      <w:r w:rsidR="00090E49">
        <w:rPr>
          <w:rFonts w:eastAsia="Times New Roman"/>
          <w:color w:val="00B050"/>
        </w:rPr>
        <w:t xml:space="preserve">there </w:t>
      </w:r>
      <w:r w:rsidR="00921E2B">
        <w:rPr>
          <w:rFonts w:eastAsia="Times New Roman"/>
          <w:color w:val="00B050"/>
        </w:rPr>
        <w:t>was</w:t>
      </w:r>
      <w:r w:rsidR="00090E49">
        <w:rPr>
          <w:rFonts w:eastAsia="Times New Roman"/>
          <w:color w:val="00B050"/>
        </w:rPr>
        <w:t xml:space="preserve"> no </w:t>
      </w:r>
      <w:r w:rsidR="00090E49" w:rsidRPr="00D229B3">
        <w:rPr>
          <w:rFonts w:eastAsia="Times New Roman"/>
          <w:color w:val="00B050"/>
        </w:rPr>
        <w:t>70-80 km peak</w:t>
      </w:r>
      <w:r w:rsidR="00090E49">
        <w:rPr>
          <w:rFonts w:eastAsia="Times New Roman"/>
          <w:color w:val="00B050"/>
        </w:rPr>
        <w:t>, the peak is at</w:t>
      </w:r>
      <w:r w:rsidRPr="00D229B3">
        <w:rPr>
          <w:rFonts w:eastAsia="Times New Roman"/>
          <w:color w:val="00B050"/>
        </w:rPr>
        <w:t xml:space="preserve"> 60-70 km. </w:t>
      </w:r>
      <w:r w:rsidR="0034023E">
        <w:rPr>
          <w:rFonts w:eastAsia="Times New Roman"/>
          <w:color w:val="00B050"/>
        </w:rPr>
        <w:t xml:space="preserve">This has been fixed. </w:t>
      </w:r>
      <w:r w:rsidR="001336E1">
        <w:rPr>
          <w:rFonts w:eastAsia="Times New Roman"/>
          <w:color w:val="00B050"/>
        </w:rPr>
        <w:t>We believe the peak is</w:t>
      </w:r>
      <w:r>
        <w:rPr>
          <w:rFonts w:eastAsia="Times New Roman"/>
          <w:color w:val="00B050"/>
        </w:rPr>
        <w:t xml:space="preserve"> likely </w:t>
      </w:r>
      <w:r w:rsidR="008D7DF3">
        <w:rPr>
          <w:rFonts w:eastAsia="Times New Roman"/>
          <w:color w:val="00B050"/>
        </w:rPr>
        <w:t>a combination of multiple factors</w:t>
      </w:r>
      <w:r w:rsidR="000765D3">
        <w:rPr>
          <w:rFonts w:eastAsia="Times New Roman"/>
          <w:color w:val="00B050"/>
        </w:rPr>
        <w:t xml:space="preserve"> that </w:t>
      </w:r>
      <w:r w:rsidR="00DD0814">
        <w:rPr>
          <w:rFonts w:eastAsia="Times New Roman"/>
          <w:color w:val="00B050"/>
        </w:rPr>
        <w:t>contribute to a</w:t>
      </w:r>
      <w:r w:rsidR="00C86FDD">
        <w:rPr>
          <w:rFonts w:eastAsia="Times New Roman"/>
          <w:color w:val="00B050"/>
        </w:rPr>
        <w:t>n</w:t>
      </w:r>
      <w:r w:rsidR="00DD0814">
        <w:rPr>
          <w:rFonts w:eastAsia="Times New Roman"/>
          <w:color w:val="00B050"/>
        </w:rPr>
        <w:t xml:space="preserve"> </w:t>
      </w:r>
      <w:r w:rsidR="00C86FDD">
        <w:rPr>
          <w:rFonts w:eastAsia="Times New Roman"/>
          <w:color w:val="00B050"/>
        </w:rPr>
        <w:t>im</w:t>
      </w:r>
      <w:r w:rsidR="00DD0814">
        <w:rPr>
          <w:rFonts w:eastAsia="Times New Roman"/>
          <w:color w:val="00B050"/>
        </w:rPr>
        <w:t xml:space="preserve">perfect </w:t>
      </w:r>
      <w:r w:rsidR="00CD5DF1">
        <w:rPr>
          <w:rFonts w:eastAsia="Times New Roman"/>
          <w:color w:val="00B050"/>
        </w:rPr>
        <w:t>normalization</w:t>
      </w:r>
      <w:r w:rsidR="008D7DF3">
        <w:rPr>
          <w:rFonts w:eastAsia="Times New Roman"/>
          <w:color w:val="00B050"/>
        </w:rPr>
        <w:t>. AC6 observed</w:t>
      </w:r>
      <w:r w:rsidR="0057774C">
        <w:rPr>
          <w:rFonts w:eastAsia="Times New Roman"/>
          <w:color w:val="00B050"/>
        </w:rPr>
        <w:t xml:space="preserve"> </w:t>
      </w:r>
      <w:r w:rsidR="008D7DF3">
        <w:rPr>
          <w:rFonts w:eastAsia="Times New Roman"/>
          <w:color w:val="00B050"/>
        </w:rPr>
        <w:t>10</w:t>
      </w:r>
      <w:r w:rsidR="00066692">
        <w:rPr>
          <w:rFonts w:eastAsia="Times New Roman"/>
          <w:color w:val="00B050"/>
        </w:rPr>
        <w:t>1</w:t>
      </w:r>
      <w:r w:rsidR="008D7DF3">
        <w:rPr>
          <w:rFonts w:eastAsia="Times New Roman"/>
          <w:color w:val="00B050"/>
        </w:rPr>
        <w:t xml:space="preserve"> microbursts in the 30-60 km </w:t>
      </w:r>
      <w:r w:rsidR="0057774C">
        <w:rPr>
          <w:rFonts w:eastAsia="Times New Roman"/>
          <w:color w:val="00B050"/>
        </w:rPr>
        <w:t xml:space="preserve">separation bins </w:t>
      </w:r>
      <w:r w:rsidR="008D7DF3">
        <w:rPr>
          <w:rFonts w:eastAsia="Times New Roman"/>
          <w:color w:val="00B050"/>
        </w:rPr>
        <w:t>and 5</w:t>
      </w:r>
      <w:r w:rsidR="00066692">
        <w:rPr>
          <w:rFonts w:eastAsia="Times New Roman"/>
          <w:color w:val="00B050"/>
        </w:rPr>
        <w:t>3</w:t>
      </w:r>
      <w:r w:rsidR="008D7DF3">
        <w:rPr>
          <w:rFonts w:eastAsia="Times New Roman"/>
          <w:color w:val="00B050"/>
        </w:rPr>
        <w:t xml:space="preserve"> in the </w:t>
      </w:r>
      <w:r w:rsidR="00742E71">
        <w:rPr>
          <w:rFonts w:eastAsia="Times New Roman"/>
          <w:color w:val="00B050"/>
        </w:rPr>
        <w:t>6</w:t>
      </w:r>
      <w:r w:rsidR="008D7DF3">
        <w:rPr>
          <w:rFonts w:eastAsia="Times New Roman"/>
          <w:color w:val="00B050"/>
        </w:rPr>
        <w:t>0-</w:t>
      </w:r>
      <w:r w:rsidR="00742E71">
        <w:rPr>
          <w:rFonts w:eastAsia="Times New Roman"/>
          <w:color w:val="00B050"/>
        </w:rPr>
        <w:t>7</w:t>
      </w:r>
      <w:r w:rsidR="008D7DF3">
        <w:rPr>
          <w:rFonts w:eastAsia="Times New Roman"/>
          <w:color w:val="00B050"/>
        </w:rPr>
        <w:t>0 km bins</w:t>
      </w:r>
      <w:r w:rsidR="00781D86">
        <w:rPr>
          <w:rFonts w:eastAsia="Times New Roman"/>
          <w:color w:val="00B050"/>
        </w:rPr>
        <w:t xml:space="preserve"> so there was a </w:t>
      </w:r>
      <w:r w:rsidR="00294260">
        <w:rPr>
          <w:rFonts w:eastAsia="Times New Roman"/>
          <w:color w:val="00B050"/>
        </w:rPr>
        <w:t>significant</w:t>
      </w:r>
      <w:r w:rsidR="00781D86">
        <w:rPr>
          <w:rFonts w:eastAsia="Times New Roman"/>
          <w:color w:val="00B050"/>
        </w:rPr>
        <w:t xml:space="preserve"> number of microbursts observe</w:t>
      </w:r>
      <w:r w:rsidR="00C6600E">
        <w:rPr>
          <w:rFonts w:eastAsia="Times New Roman"/>
          <w:color w:val="00B050"/>
        </w:rPr>
        <w:t>d</w:t>
      </w:r>
      <w:r w:rsidR="008D7DF3">
        <w:rPr>
          <w:rFonts w:eastAsia="Times New Roman"/>
          <w:color w:val="00B050"/>
        </w:rPr>
        <w:t xml:space="preserve">. </w:t>
      </w:r>
      <w:r w:rsidR="000F2CE0">
        <w:rPr>
          <w:rFonts w:eastAsia="Times New Roman"/>
          <w:color w:val="00B050"/>
        </w:rPr>
        <w:t>M</w:t>
      </w:r>
      <w:r w:rsidR="00822909">
        <w:rPr>
          <w:rFonts w:eastAsia="Times New Roman"/>
          <w:color w:val="00B050"/>
        </w:rPr>
        <w:t xml:space="preserve">any of the </w:t>
      </w:r>
      <w:r w:rsidR="000F2CE0">
        <w:rPr>
          <w:rFonts w:eastAsia="Times New Roman"/>
          <w:color w:val="00B050"/>
        </w:rPr>
        <w:t xml:space="preserve">microbursts </w:t>
      </w:r>
      <w:r w:rsidR="00822909">
        <w:rPr>
          <w:rFonts w:eastAsia="Times New Roman"/>
          <w:color w:val="00B050"/>
        </w:rPr>
        <w:t xml:space="preserve">in the </w:t>
      </w:r>
      <w:r w:rsidR="00233F30">
        <w:rPr>
          <w:rFonts w:eastAsia="Times New Roman"/>
          <w:color w:val="00B050"/>
        </w:rPr>
        <w:t>6</w:t>
      </w:r>
      <w:r w:rsidR="00822909">
        <w:rPr>
          <w:rFonts w:eastAsia="Times New Roman"/>
          <w:color w:val="00B050"/>
        </w:rPr>
        <w:t>0-</w:t>
      </w:r>
      <w:r w:rsidR="00233F30">
        <w:rPr>
          <w:rFonts w:eastAsia="Times New Roman"/>
          <w:color w:val="00B050"/>
        </w:rPr>
        <w:t>7</w:t>
      </w:r>
      <w:r w:rsidR="00822909">
        <w:rPr>
          <w:rFonts w:eastAsia="Times New Roman"/>
          <w:color w:val="00B050"/>
        </w:rPr>
        <w:t xml:space="preserve">0 km bin were </w:t>
      </w:r>
      <w:r w:rsidR="00790C9C">
        <w:rPr>
          <w:rFonts w:eastAsia="Times New Roman"/>
          <w:color w:val="00B050"/>
        </w:rPr>
        <w:t xml:space="preserve">observed </w:t>
      </w:r>
      <w:r w:rsidR="000F2CE0">
        <w:rPr>
          <w:rFonts w:eastAsia="Times New Roman"/>
          <w:color w:val="00B050"/>
        </w:rPr>
        <w:t xml:space="preserve">during a </w:t>
      </w:r>
      <w:r w:rsidR="00822909">
        <w:rPr>
          <w:rFonts w:eastAsia="Times New Roman"/>
          <w:color w:val="00B050"/>
        </w:rPr>
        <w:t xml:space="preserve">small number of </w:t>
      </w:r>
      <w:r w:rsidR="000F2CE0">
        <w:rPr>
          <w:rFonts w:eastAsia="Times New Roman"/>
          <w:color w:val="00B050"/>
        </w:rPr>
        <w:t xml:space="preserve">radiation belt </w:t>
      </w:r>
      <w:r w:rsidR="00822909">
        <w:rPr>
          <w:rFonts w:eastAsia="Times New Roman"/>
          <w:color w:val="00B050"/>
        </w:rPr>
        <w:t xml:space="preserve">passes during which AE was </w:t>
      </w:r>
      <w:r w:rsidR="000F2CE0">
        <w:rPr>
          <w:rFonts w:eastAsia="Times New Roman"/>
          <w:color w:val="00B050"/>
        </w:rPr>
        <w:t xml:space="preserve">consistently </w:t>
      </w:r>
      <w:r w:rsidR="004908EF">
        <w:rPr>
          <w:rFonts w:eastAsia="Times New Roman"/>
          <w:color w:val="00B050"/>
        </w:rPr>
        <w:t>above</w:t>
      </w:r>
      <w:r w:rsidR="000F2CE0">
        <w:rPr>
          <w:rFonts w:eastAsia="Times New Roman"/>
          <w:color w:val="00B050"/>
        </w:rPr>
        <w:t xml:space="preserve"> 400 </w:t>
      </w:r>
      <w:proofErr w:type="spellStart"/>
      <w:r w:rsidR="000F2CE0">
        <w:rPr>
          <w:rFonts w:eastAsia="Times New Roman"/>
          <w:color w:val="00B050"/>
        </w:rPr>
        <w:t>nT</w:t>
      </w:r>
      <w:proofErr w:type="spellEnd"/>
      <w:r w:rsidR="004908EF">
        <w:rPr>
          <w:rFonts w:eastAsia="Times New Roman"/>
          <w:color w:val="00B050"/>
        </w:rPr>
        <w:t xml:space="preserve"> - </w:t>
      </w:r>
      <w:r w:rsidR="000F2CE0">
        <w:rPr>
          <w:rFonts w:eastAsia="Times New Roman"/>
          <w:color w:val="00B050"/>
        </w:rPr>
        <w:t xml:space="preserve">at one time above 700 </w:t>
      </w:r>
      <w:proofErr w:type="spellStart"/>
      <w:r w:rsidR="000F2CE0">
        <w:rPr>
          <w:rFonts w:eastAsia="Times New Roman"/>
          <w:color w:val="00B050"/>
        </w:rPr>
        <w:t>nT.</w:t>
      </w:r>
      <w:proofErr w:type="spellEnd"/>
      <w:r w:rsidR="000F2CE0">
        <w:rPr>
          <w:rFonts w:eastAsia="Times New Roman"/>
          <w:color w:val="00B050"/>
        </w:rPr>
        <w:t xml:space="preserve"> </w:t>
      </w:r>
      <w:r w:rsidR="00CE2B3A">
        <w:rPr>
          <w:rFonts w:eastAsia="Times New Roman"/>
          <w:color w:val="00B050"/>
        </w:rPr>
        <w:t>Thus</w:t>
      </w:r>
      <w:r w:rsidR="000F2CE0">
        <w:rPr>
          <w:rFonts w:eastAsia="Times New Roman"/>
          <w:color w:val="00B050"/>
        </w:rPr>
        <w:t xml:space="preserve">, </w:t>
      </w:r>
      <w:r w:rsidR="00822909">
        <w:rPr>
          <w:rFonts w:eastAsia="Times New Roman"/>
          <w:color w:val="00B050"/>
        </w:rPr>
        <w:t>it may have been an unusually active period</w:t>
      </w:r>
      <w:r w:rsidR="00742E71">
        <w:rPr>
          <w:rFonts w:eastAsia="Times New Roman"/>
          <w:color w:val="00B050"/>
        </w:rPr>
        <w:t xml:space="preserve"> </w:t>
      </w:r>
      <w:r w:rsidR="00847D5D">
        <w:rPr>
          <w:rFonts w:eastAsia="Times New Roman"/>
          <w:color w:val="00B050"/>
        </w:rPr>
        <w:t>when</w:t>
      </w:r>
      <w:r w:rsidR="00742E71">
        <w:rPr>
          <w:rFonts w:eastAsia="Times New Roman"/>
          <w:color w:val="00B050"/>
        </w:rPr>
        <w:t xml:space="preserve"> AC6 separation</w:t>
      </w:r>
      <w:r w:rsidR="00847D5D">
        <w:rPr>
          <w:rFonts w:eastAsia="Times New Roman"/>
          <w:color w:val="00B050"/>
        </w:rPr>
        <w:t xml:space="preserve"> was</w:t>
      </w:r>
      <w:r w:rsidR="00742E71">
        <w:rPr>
          <w:rFonts w:eastAsia="Times New Roman"/>
          <w:color w:val="00B050"/>
        </w:rPr>
        <w:t xml:space="preserve"> approximately 65 km</w:t>
      </w:r>
      <w:r w:rsidR="001602CB">
        <w:rPr>
          <w:rFonts w:eastAsia="Times New Roman"/>
          <w:color w:val="00B050"/>
        </w:rPr>
        <w:t xml:space="preserve"> which would bias the microburst distribution </w:t>
      </w:r>
      <w:r w:rsidR="002A5E66">
        <w:rPr>
          <w:rFonts w:eastAsia="Times New Roman"/>
          <w:color w:val="00B050"/>
        </w:rPr>
        <w:t>in a way that is difficult to normalize by</w:t>
      </w:r>
      <w:r w:rsidR="001602CB">
        <w:rPr>
          <w:rFonts w:eastAsia="Times New Roman"/>
          <w:color w:val="00B050"/>
        </w:rPr>
        <w:t xml:space="preserve"> the hours of observation at that separation</w:t>
      </w:r>
      <w:r w:rsidR="00822909">
        <w:rPr>
          <w:rFonts w:eastAsia="Times New Roman"/>
          <w:color w:val="00B050"/>
        </w:rPr>
        <w:t xml:space="preserve">. </w:t>
      </w:r>
      <w:r w:rsidR="000F2CE0">
        <w:rPr>
          <w:rFonts w:eastAsia="Times New Roman"/>
          <w:color w:val="00B050"/>
        </w:rPr>
        <w:t>Unfortunately</w:t>
      </w:r>
      <w:r w:rsidR="00510EEE">
        <w:rPr>
          <w:rFonts w:eastAsia="Times New Roman"/>
          <w:color w:val="00B050"/>
        </w:rPr>
        <w:t>,</w:t>
      </w:r>
      <w:r w:rsidR="000F2CE0">
        <w:rPr>
          <w:rFonts w:eastAsia="Times New Roman"/>
          <w:color w:val="00B050"/>
        </w:rPr>
        <w:t xml:space="preserve"> w</w:t>
      </w:r>
      <w:r w:rsidR="00822909">
        <w:rPr>
          <w:rFonts w:eastAsia="Times New Roman"/>
          <w:color w:val="00B050"/>
        </w:rPr>
        <w:t>e do not have enough microburst</w:t>
      </w:r>
      <w:r w:rsidR="000F2CE0">
        <w:rPr>
          <w:rFonts w:eastAsia="Times New Roman"/>
          <w:color w:val="00B050"/>
        </w:rPr>
        <w:t xml:space="preserve"> detections </w:t>
      </w:r>
      <w:r w:rsidR="00822909">
        <w:rPr>
          <w:rFonts w:eastAsia="Times New Roman"/>
          <w:color w:val="00B050"/>
        </w:rPr>
        <w:t xml:space="preserve">to split up the distributions by </w:t>
      </w:r>
      <w:r w:rsidR="000F2CE0">
        <w:rPr>
          <w:rFonts w:eastAsia="Times New Roman"/>
          <w:color w:val="00B050"/>
        </w:rPr>
        <w:t>geomagnetic activity</w:t>
      </w:r>
      <w:r w:rsidR="006F3AC3">
        <w:rPr>
          <w:rFonts w:eastAsia="Times New Roman"/>
          <w:color w:val="00B050"/>
        </w:rPr>
        <w:t>.</w:t>
      </w:r>
      <w:r w:rsidR="006579E8">
        <w:rPr>
          <w:rFonts w:eastAsia="Times New Roman"/>
          <w:color w:val="00B050"/>
        </w:rPr>
        <w:t xml:space="preserve"> </w:t>
      </w:r>
      <w:r w:rsidR="006F3AC3">
        <w:rPr>
          <w:rFonts w:eastAsia="Times New Roman"/>
          <w:color w:val="00B050"/>
        </w:rPr>
        <w:t>I</w:t>
      </w:r>
      <w:r w:rsidR="000F2CE0">
        <w:rPr>
          <w:rFonts w:eastAsia="Times New Roman"/>
          <w:color w:val="00B050"/>
        </w:rPr>
        <w:t xml:space="preserve">n </w:t>
      </w:r>
      <w:r w:rsidR="00133469">
        <w:rPr>
          <w:rFonts w:eastAsia="Times New Roman"/>
          <w:color w:val="00B050"/>
        </w:rPr>
        <w:t>conclusion,</w:t>
      </w:r>
      <w:r w:rsidR="008C680B">
        <w:rPr>
          <w:rFonts w:eastAsia="Times New Roman"/>
          <w:color w:val="00B050"/>
        </w:rPr>
        <w:t xml:space="preserve"> the reality is</w:t>
      </w:r>
      <w:r w:rsidR="006579E8">
        <w:rPr>
          <w:rFonts w:eastAsia="Times New Roman"/>
          <w:color w:val="00B050"/>
        </w:rPr>
        <w:t xml:space="preserve"> that </w:t>
      </w:r>
      <w:r w:rsidR="000F2CE0">
        <w:rPr>
          <w:rFonts w:eastAsia="Times New Roman"/>
          <w:color w:val="00B050"/>
        </w:rPr>
        <w:t xml:space="preserve">our </w:t>
      </w:r>
      <w:r w:rsidR="00822909">
        <w:rPr>
          <w:rFonts w:eastAsia="Times New Roman"/>
          <w:color w:val="00B050"/>
        </w:rPr>
        <w:t xml:space="preserve">normalization </w:t>
      </w:r>
      <w:r w:rsidR="00A701FF">
        <w:rPr>
          <w:rFonts w:eastAsia="Times New Roman"/>
          <w:color w:val="00B050"/>
        </w:rPr>
        <w:t>is not perfect</w:t>
      </w:r>
      <w:r w:rsidR="00822909">
        <w:rPr>
          <w:rFonts w:eastAsia="Times New Roman"/>
          <w:color w:val="00B050"/>
        </w:rPr>
        <w:t>.</w:t>
      </w:r>
      <w:r w:rsidR="00742E71">
        <w:rPr>
          <w:rFonts w:eastAsia="Times New Roman"/>
          <w:color w:val="00B050"/>
        </w:rPr>
        <w:t xml:space="preserve"> </w:t>
      </w:r>
    </w:p>
    <w:p w14:paraId="5CC90427" w14:textId="1BC31EF2"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55BF82E9"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DA5010" w:rsidRPr="00DA5010">
        <w:rPr>
          <w:rFonts w:eastAsia="Times New Roman"/>
          <w:color w:val="00B050"/>
        </w:rPr>
        <w:t>on lines 236-237</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w:t>
      </w:r>
      <w:r w:rsidR="0098482A">
        <w:rPr>
          <w:color w:val="00B050"/>
        </w:rPr>
        <w:t>Unfortunately,</w:t>
      </w:r>
      <w:r w:rsidR="005A4354">
        <w:rPr>
          <w:color w:val="00B050"/>
        </w:rPr>
        <w:t xml:space="preserve"> t</w:t>
      </w:r>
      <w:r w:rsidR="004E3B94">
        <w:rPr>
          <w:color w:val="00B050"/>
        </w:rPr>
        <w:t xml:space="preserve">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w:t>
      </w:r>
      <w:r w:rsidR="004E3B94">
        <w:rPr>
          <w:color w:val="00B050"/>
        </w:rPr>
        <w:lastRenderedPageBreak/>
        <w:t xml:space="preserve">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w:t>
      </w:r>
      <w:proofErr w:type="spellStart"/>
      <w:r w:rsidRPr="008D748D">
        <w:rPr>
          <w:rFonts w:eastAsia="Times New Roman"/>
        </w:rPr>
        <w:t>partical</w:t>
      </w:r>
      <w:proofErr w:type="spellEnd"/>
      <w:r w:rsidRPr="008D748D">
        <w:rPr>
          <w:rFonts w:eastAsia="Times New Roman"/>
        </w:rPr>
        <w:t xml:space="preserve"> interactions due to chorus wave via pitch angle scattering process, whose efficiency has energy and pitch angle dependences. Without specifying the electron energy and pitch angle, I would recommend </w:t>
      </w:r>
      <w:proofErr w:type="gramStart"/>
      <w:r w:rsidRPr="008D748D">
        <w:rPr>
          <w:rFonts w:eastAsia="Times New Roman"/>
        </w:rPr>
        <w:t>to reword</w:t>
      </w:r>
      <w:proofErr w:type="gramEnd"/>
      <w:r w:rsidRPr="008D748D">
        <w:rPr>
          <w:rFonts w:eastAsia="Times New Roman"/>
        </w:rPr>
        <w:t xml:space="preserve">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7BC60386" w:rsidR="00410238" w:rsidRPr="00911101" w:rsidRDefault="002866F4" w:rsidP="00371532">
      <w:pPr>
        <w:spacing w:line="240" w:lineRule="auto"/>
        <w:rPr>
          <w:rFonts w:eastAsia="Times New Roman"/>
          <w:color w:val="00B050"/>
        </w:rPr>
      </w:pPr>
      <w:r>
        <w:rPr>
          <w:rFonts w:eastAsia="Times New Roman"/>
          <w:color w:val="00B050"/>
        </w:rPr>
        <w:t xml:space="preserve">We included the </w:t>
      </w:r>
      <w:r w:rsidR="00840DBB">
        <w:rPr>
          <w:rFonts w:eastAsia="Times New Roman"/>
          <w:color w:val="00B050"/>
        </w:rPr>
        <w:t>coincident microburst observations because we</w:t>
      </w:r>
      <w:r w:rsidR="003808A4">
        <w:rPr>
          <w:rFonts w:eastAsia="Times New Roman"/>
          <w:color w:val="00B050"/>
        </w:rPr>
        <w:t xml:space="preserve"> are certain </w:t>
      </w:r>
      <w:r w:rsidR="00840DBB">
        <w:rPr>
          <w:rFonts w:eastAsia="Times New Roman"/>
          <w:color w:val="00B050"/>
        </w:rPr>
        <w:t xml:space="preserve">that </w:t>
      </w:r>
      <w:r w:rsidR="00EF4FAE">
        <w:rPr>
          <w:rFonts w:eastAsia="Times New Roman"/>
          <w:color w:val="00B050"/>
        </w:rPr>
        <w:t>those</w:t>
      </w:r>
      <w:r w:rsidR="00840DBB">
        <w:rPr>
          <w:rFonts w:eastAsia="Times New Roman"/>
          <w:color w:val="00B050"/>
        </w:rPr>
        <w:t xml:space="preserve"> microburst</w:t>
      </w:r>
      <w:r w:rsidR="00EF4FAE">
        <w:rPr>
          <w:rFonts w:eastAsia="Times New Roman"/>
          <w:color w:val="00B050"/>
        </w:rPr>
        <w:t>s</w:t>
      </w:r>
      <w:r w:rsidR="00840DBB">
        <w:rPr>
          <w:rFonts w:eastAsia="Times New Roman"/>
          <w:color w:val="00B050"/>
        </w:rPr>
        <w:t xml:space="preserve"> w</w:t>
      </w:r>
      <w:r w:rsidR="00EF4FAE">
        <w:rPr>
          <w:rFonts w:eastAsia="Times New Roman"/>
          <w:color w:val="00B050"/>
        </w:rPr>
        <w:t>ere</w:t>
      </w:r>
      <w:r w:rsidR="00840DBB">
        <w:rPr>
          <w:rFonts w:eastAsia="Times New Roman"/>
          <w:color w:val="00B050"/>
        </w:rPr>
        <w:t xml:space="preserve"> larger than the </w:t>
      </w:r>
      <w:r w:rsidR="00EE2C94">
        <w:rPr>
          <w:rFonts w:eastAsia="Times New Roman"/>
          <w:color w:val="00B050"/>
        </w:rPr>
        <w:t xml:space="preserve">AC6 </w:t>
      </w:r>
      <w:r w:rsidR="00840DBB">
        <w:rPr>
          <w:rFonts w:eastAsia="Times New Roman"/>
          <w:color w:val="00B050"/>
        </w:rPr>
        <w:t xml:space="preserve">separation. For microbursts observed by only one spacecraft we have no </w:t>
      </w:r>
      <w:r w:rsidR="00EE2C94">
        <w:rPr>
          <w:rFonts w:eastAsia="Times New Roman"/>
          <w:color w:val="00B050"/>
        </w:rPr>
        <w:t>size information</w:t>
      </w:r>
      <w:r w:rsidR="0036557B">
        <w:rPr>
          <w:rFonts w:eastAsia="Times New Roman"/>
          <w:color w:val="00B050"/>
        </w:rPr>
        <w:t xml:space="preserve"> whatsoever</w:t>
      </w:r>
      <w:r w:rsidR="00840DBB">
        <w:rPr>
          <w:rFonts w:eastAsia="Times New Roman"/>
          <w:color w:val="00B050"/>
        </w:rPr>
        <w:t xml:space="preserve">. For example, as Fig. 5d shows, 40 km microburst has </w:t>
      </w:r>
      <w:r w:rsidR="00C37338">
        <w:rPr>
          <w:rFonts w:eastAsia="Times New Roman"/>
          <w:color w:val="00B050"/>
        </w:rPr>
        <w:t xml:space="preserve">only </w:t>
      </w:r>
      <w:r w:rsidR="0036557B">
        <w:rPr>
          <w:rFonts w:eastAsia="Times New Roman"/>
          <w:color w:val="00B050"/>
        </w:rPr>
        <w:t>20%</w:t>
      </w:r>
      <w:r w:rsidR="00840DBB">
        <w:rPr>
          <w:rFonts w:eastAsia="Times New Roman"/>
          <w:color w:val="00B050"/>
        </w:rPr>
        <w:t xml:space="preserve"> probability of being observed by both</w:t>
      </w:r>
      <w:r w:rsidR="0036557B">
        <w:rPr>
          <w:rFonts w:eastAsia="Times New Roman"/>
          <w:color w:val="00B050"/>
        </w:rPr>
        <w:t xml:space="preserve"> spacecraft even </w:t>
      </w:r>
      <w:r w:rsidR="00AE6C1C">
        <w:rPr>
          <w:rFonts w:eastAsia="Times New Roman"/>
          <w:color w:val="00B050"/>
        </w:rPr>
        <w:t>when</w:t>
      </w:r>
      <w:r w:rsidR="0036557B">
        <w:rPr>
          <w:rFonts w:eastAsia="Times New Roman"/>
          <w:color w:val="00B050"/>
        </w:rPr>
        <w:t xml:space="preserve"> </w:t>
      </w:r>
      <w:r w:rsidR="00C37338">
        <w:rPr>
          <w:rFonts w:eastAsia="Times New Roman"/>
          <w:color w:val="00B050"/>
        </w:rPr>
        <w:t xml:space="preserve">the </w:t>
      </w:r>
      <w:r w:rsidR="0036557B">
        <w:rPr>
          <w:rFonts w:eastAsia="Times New Roman"/>
          <w:color w:val="00B050"/>
        </w:rPr>
        <w:t>AC6 separation</w:t>
      </w:r>
      <w:r w:rsidR="00AE6C1C">
        <w:rPr>
          <w:rFonts w:eastAsia="Times New Roman"/>
          <w:color w:val="00B050"/>
        </w:rPr>
        <w:t xml:space="preserve"> is 20 km</w:t>
      </w:r>
      <w:r w:rsidR="00840DBB">
        <w:rPr>
          <w:rFonts w:eastAsia="Times New Roman"/>
          <w:color w:val="00B050"/>
        </w:rPr>
        <w:t xml:space="preserve">. </w:t>
      </w:r>
      <w:r>
        <w:rPr>
          <w:rFonts w:eastAsia="Times New Roman"/>
          <w:color w:val="00B050"/>
        </w:rPr>
        <w:t xml:space="preserve">This is </w:t>
      </w:r>
      <w:r w:rsidR="00911101">
        <w:rPr>
          <w:rFonts w:eastAsia="Times New Roman"/>
          <w:color w:val="00B050"/>
        </w:rPr>
        <w:t>the</w:t>
      </w:r>
      <w:r w:rsidR="00A00123">
        <w:rPr>
          <w:rFonts w:eastAsia="Times New Roman"/>
          <w:color w:val="00B050"/>
        </w:rPr>
        <w:t xml:space="preserve"> reason we developed the analytic and Monte Carlo model</w:t>
      </w:r>
      <w:r w:rsidR="00C20AF5">
        <w:rPr>
          <w:rFonts w:eastAsia="Times New Roman"/>
          <w:color w:val="00B050"/>
        </w:rPr>
        <w:t xml:space="preserve">s - </w:t>
      </w:r>
      <w:r w:rsidR="00A00123">
        <w:rPr>
          <w:rFonts w:eastAsia="Times New Roman"/>
          <w:color w:val="00B050"/>
        </w:rPr>
        <w:t xml:space="preserve">to account for the </w:t>
      </w:r>
      <w:r w:rsidR="00776F8B">
        <w:rPr>
          <w:rFonts w:eastAsia="Times New Roman"/>
          <w:color w:val="00B050"/>
        </w:rPr>
        <w:t xml:space="preserve">random chance that </w:t>
      </w:r>
      <w:r w:rsidR="00A00123">
        <w:rPr>
          <w:rFonts w:eastAsia="Times New Roman"/>
          <w:color w:val="00B050"/>
        </w:rPr>
        <w:t xml:space="preserve">microbursts </w:t>
      </w:r>
      <w:r w:rsidR="00776F8B">
        <w:rPr>
          <w:rFonts w:eastAsia="Times New Roman"/>
          <w:color w:val="00B050"/>
        </w:rPr>
        <w:t xml:space="preserve">are </w:t>
      </w:r>
      <w:r w:rsidR="00C01642">
        <w:rPr>
          <w:rFonts w:eastAsia="Times New Roman"/>
          <w:color w:val="00B050"/>
        </w:rPr>
        <w:t xml:space="preserve">observed </w:t>
      </w:r>
      <w:r w:rsidR="005B5C3A">
        <w:rPr>
          <w:rFonts w:eastAsia="Times New Roman"/>
          <w:color w:val="00B050"/>
        </w:rPr>
        <w:t>together by</w:t>
      </w:r>
      <w:r w:rsidR="00776F8B">
        <w:rPr>
          <w:rFonts w:eastAsia="Times New Roman"/>
          <w:color w:val="00B050"/>
        </w:rPr>
        <w:t xml:space="preserve"> AC6 vs</w:t>
      </w:r>
      <w:r w:rsidR="00C01642">
        <w:rPr>
          <w:rFonts w:eastAsia="Times New Roman"/>
          <w:color w:val="00B050"/>
        </w:rPr>
        <w:t xml:space="preserve"> individually</w:t>
      </w:r>
      <w:r w:rsidR="00A00123">
        <w:rPr>
          <w:rFonts w:eastAsia="Times New Roman"/>
          <w:color w:val="00B050"/>
        </w:rPr>
        <w:t xml:space="preserve">. </w:t>
      </w:r>
      <w:r w:rsidR="00410238" w:rsidRPr="008D748D">
        <w:rPr>
          <w:rFonts w:eastAsia="Times New Roman"/>
        </w:rPr>
        <w:br/>
      </w:r>
      <w:r w:rsidR="00410238" w:rsidRPr="008D748D">
        <w:rPr>
          <w:rFonts w:eastAsia="Times New Roman"/>
        </w:rPr>
        <w:br/>
        <w:t xml:space="preserve">Figure 3a and 3b, </w:t>
      </w:r>
      <w:proofErr w:type="gramStart"/>
      <w:r w:rsidR="00410238" w:rsidRPr="008D748D">
        <w:rPr>
          <w:rFonts w:eastAsia="Times New Roman"/>
        </w:rPr>
        <w:t>Is</w:t>
      </w:r>
      <w:proofErr w:type="gramEnd"/>
      <w:r w:rsidR="00410238" w:rsidRPr="008D748D">
        <w:rPr>
          <w:rFonts w:eastAsia="Times New Roman"/>
        </w:rPr>
        <w:t xml:space="preserve"> it possible to shift each point to match the center of each bin in Figure 3c for an easier way to see the one-to-one correspondence? Same for Figure 4.</w:t>
      </w:r>
      <w:r w:rsidR="00410238" w:rsidRPr="00B7264B">
        <w:rPr>
          <w:rFonts w:eastAsia="Times New Roman"/>
          <w:color w:val="00B050"/>
        </w:rPr>
        <w:br/>
      </w:r>
      <w:r w:rsidR="002E697E">
        <w:rPr>
          <w:color w:val="00B050"/>
        </w:rPr>
        <w:t>Done.</w:t>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1C3BCA78" w:rsidR="00AC45B2" w:rsidRPr="00110AB2" w:rsidRDefault="00A31304" w:rsidP="00326215">
      <w:pPr>
        <w:pStyle w:val="Default"/>
        <w:rPr>
          <w:color w:val="00B050"/>
          <w:sz w:val="20"/>
          <w:szCs w:val="20"/>
        </w:rPr>
      </w:pPr>
      <w:r w:rsidRPr="00110AB2">
        <w:rPr>
          <w:rFonts w:eastAsia="Times New Roman"/>
          <w:color w:val="00B050"/>
          <w:sz w:val="22"/>
          <w:szCs w:val="22"/>
        </w:rPr>
        <w:t>Thank you for your comment, we added a sentence that says that the data does not show a clear trend in L on lines 236-237. The reason we looked for an L-dependent microburst size distribution is that r</w:t>
      </w:r>
      <w:r w:rsidRPr="00110AB2">
        <w:rPr>
          <w:color w:val="00B050"/>
          <w:sz w:val="22"/>
          <w:szCs w:val="22"/>
        </w:rPr>
        <w:t xml:space="preserve">ecent studies of chorus wave sizes do not agree on if the chorus wave size increases at higher L shells. </w:t>
      </w:r>
      <w:r w:rsidRPr="00110AB2">
        <w:rPr>
          <w:color w:val="00B050"/>
          <w:sz w:val="22"/>
          <w:szCs w:val="22"/>
        </w:rPr>
        <w:lastRenderedPageBreak/>
        <w:t>For example, Shen at al., 2019 found that chorus size is larger at larger L shell, but Agapitov et al., 2018 did not find such a trend. Unfortunately, these two papers cannot be directly compared because Shen at al., 2019 estimated the correlation size distribution, while Agapitov et al., 2018 estimated the amplitude size distribution.</w:t>
      </w:r>
      <w:r w:rsidR="001D1E24" w:rsidRPr="00110AB2">
        <w:rPr>
          <w:rFonts w:eastAsia="Times New Roman"/>
          <w:sz w:val="22"/>
          <w:szCs w:val="22"/>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183FACB4"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proofErr w:type="gramStart"/>
      <w:r w:rsidR="00D938AC">
        <w:rPr>
          <w:color w:val="00B050"/>
          <w:sz w:val="22"/>
          <w:szCs w:val="22"/>
        </w:rPr>
        <w:t>motivate</w:t>
      </w:r>
      <w:r w:rsidR="00D766C3">
        <w:rPr>
          <w:color w:val="00B050"/>
          <w:sz w:val="22"/>
          <w:szCs w:val="22"/>
        </w:rPr>
        <w:t>,</w:t>
      </w:r>
      <w:r w:rsidR="00D938AC">
        <w:rPr>
          <w:color w:val="00B050"/>
          <w:sz w:val="22"/>
          <w:szCs w:val="22"/>
        </w:rPr>
        <w:t xml:space="preserve"> and</w:t>
      </w:r>
      <w:proofErr w:type="gramEnd"/>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50C4A388" w:rsidR="0037195E" w:rsidRPr="00154EF2" w:rsidRDefault="0086500D" w:rsidP="00326215">
      <w:pPr>
        <w:pStyle w:val="Default"/>
        <w:rPr>
          <w:color w:val="00B050"/>
          <w:sz w:val="22"/>
          <w:szCs w:val="22"/>
        </w:rPr>
      </w:pPr>
      <w:r>
        <w:rPr>
          <w:color w:val="00B050"/>
          <w:sz w:val="22"/>
          <w:szCs w:val="22"/>
        </w:rPr>
        <w:t xml:space="preserve">We expanded </w:t>
      </w:r>
      <w:r w:rsidR="0048753F">
        <w:rPr>
          <w:color w:val="00B050"/>
          <w:sz w:val="22"/>
          <w:szCs w:val="22"/>
        </w:rPr>
        <w:t xml:space="preserve">the </w:t>
      </w:r>
      <w:r>
        <w:rPr>
          <w:color w:val="00B050"/>
          <w:sz w:val="22"/>
          <w:szCs w:val="22"/>
        </w:rPr>
        <w:t>figure caption</w:t>
      </w:r>
      <w:r w:rsidR="008C7322">
        <w:rPr>
          <w:color w:val="00B050"/>
          <w:sz w:val="22"/>
          <w:szCs w:val="22"/>
        </w:rPr>
        <w:t>s</w:t>
      </w:r>
      <w:r>
        <w:rPr>
          <w:color w:val="00B050"/>
          <w:sz w:val="22"/>
          <w:szCs w:val="22"/>
        </w:rPr>
        <w:t xml:space="preserve"> in </w:t>
      </w:r>
      <w:r w:rsidR="0048753F">
        <w:rPr>
          <w:color w:val="00B050"/>
          <w:sz w:val="22"/>
          <w:szCs w:val="22"/>
        </w:rPr>
        <w:t>main text</w:t>
      </w:r>
      <w:r w:rsidR="008C7322">
        <w:rPr>
          <w:color w:val="00B050"/>
          <w:sz w:val="22"/>
          <w:szCs w:val="22"/>
        </w:rPr>
        <w:t>, including Figure 5.</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7C2479FB"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-rays microburst signatures.</w:t>
      </w:r>
      <w:r w:rsidR="00C21194">
        <w:rPr>
          <w:color w:val="00B050"/>
          <w:sz w:val="22"/>
          <w:szCs w:val="22"/>
        </w:rPr>
        <w:t xml:space="preserve"> I mentioned this in the manuscript.</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28224C6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w:t>
      </w:r>
      <w:r w:rsidR="00D766C3">
        <w:rPr>
          <w:color w:val="00B050"/>
          <w:sz w:val="22"/>
          <w:szCs w:val="22"/>
        </w:rPr>
        <w:t>That sentence was tidied up.</w:t>
      </w:r>
    </w:p>
    <w:p w14:paraId="5A82698D" w14:textId="77777777" w:rsidR="005C3758" w:rsidRPr="008D748D" w:rsidRDefault="005C3758" w:rsidP="00326215">
      <w:pPr>
        <w:pStyle w:val="Default"/>
        <w:rPr>
          <w:sz w:val="22"/>
          <w:szCs w:val="22"/>
        </w:rPr>
      </w:pPr>
    </w:p>
    <w:p w14:paraId="487332BC" w14:textId="2DB6FD51" w:rsidR="00326215" w:rsidRDefault="00326215" w:rsidP="00326215">
      <w:pPr>
        <w:pStyle w:val="Default"/>
        <w:rPr>
          <w:sz w:val="22"/>
          <w:szCs w:val="22"/>
        </w:rPr>
      </w:pPr>
      <w:r w:rsidRPr="008D748D">
        <w:rPr>
          <w:sz w:val="22"/>
          <w:szCs w:val="22"/>
        </w:rPr>
        <w:t xml:space="preserve">Lines 154-155: What is ‘good’? </w:t>
      </w:r>
    </w:p>
    <w:p w14:paraId="4C1D4E3B" w14:textId="0DA2C214" w:rsidR="0095031B" w:rsidRPr="00AF035A" w:rsidRDefault="00CA4758" w:rsidP="00326215">
      <w:pPr>
        <w:pStyle w:val="Default"/>
        <w:rPr>
          <w:sz w:val="22"/>
          <w:szCs w:val="22"/>
        </w:rPr>
      </w:pPr>
      <w:r>
        <w:rPr>
          <w:color w:val="00B050"/>
          <w:sz w:val="22"/>
          <w:szCs w:val="22"/>
        </w:rPr>
        <w:t>We checked other burst parameter thresholds near 5, and we found that the LEO microburst distributions did not qualitatively change.</w:t>
      </w:r>
      <w:r w:rsidR="00AF035A">
        <w:rPr>
          <w:color w:val="00B050"/>
          <w:sz w:val="22"/>
          <w:szCs w:val="22"/>
        </w:rPr>
        <w:t xml:space="preserve"> We chose the threshold of 5 because it balance</w:t>
      </w:r>
      <w:r w:rsidR="008C0D9D">
        <w:rPr>
          <w:color w:val="00B050"/>
          <w:sz w:val="22"/>
          <w:szCs w:val="22"/>
        </w:rPr>
        <w:t>s</w:t>
      </w:r>
      <w:r w:rsidR="0023725E">
        <w:rPr>
          <w:color w:val="00B050"/>
          <w:sz w:val="22"/>
          <w:szCs w:val="22"/>
        </w:rPr>
        <w:t>:</w:t>
      </w:r>
      <w:r w:rsidR="00AF035A">
        <w:rPr>
          <w:color w:val="00B050"/>
          <w:sz w:val="22"/>
          <w:szCs w:val="22"/>
        </w:rPr>
        <w:t xml:space="preserve"> </w:t>
      </w:r>
      <w:proofErr w:type="gramStart"/>
      <w:r w:rsidR="008C0D9D">
        <w:rPr>
          <w:color w:val="00B050"/>
          <w:sz w:val="22"/>
          <w:szCs w:val="22"/>
        </w:rPr>
        <w:t>a</w:t>
      </w:r>
      <w:r w:rsidR="00AF035A">
        <w:rPr>
          <w:color w:val="00B050"/>
          <w:sz w:val="22"/>
          <w:szCs w:val="22"/>
        </w:rPr>
        <w:t xml:space="preserve"> </w:t>
      </w:r>
      <w:r w:rsidR="00B364B9">
        <w:rPr>
          <w:color w:val="00B050"/>
          <w:sz w:val="22"/>
          <w:szCs w:val="22"/>
        </w:rPr>
        <w:t>large</w:t>
      </w:r>
      <w:r w:rsidR="00E046C3">
        <w:rPr>
          <w:color w:val="00B050"/>
          <w:sz w:val="22"/>
          <w:szCs w:val="22"/>
        </w:rPr>
        <w:t xml:space="preserve"> </w:t>
      </w:r>
      <w:r w:rsidR="00AF035A">
        <w:rPr>
          <w:color w:val="00B050"/>
          <w:sz w:val="22"/>
          <w:szCs w:val="22"/>
        </w:rPr>
        <w:t>number of</w:t>
      </w:r>
      <w:proofErr w:type="gramEnd"/>
      <w:r w:rsidR="00AF035A">
        <w:rPr>
          <w:color w:val="00B050"/>
          <w:sz w:val="22"/>
          <w:szCs w:val="22"/>
        </w:rPr>
        <w:t xml:space="preserve"> microbursts</w:t>
      </w:r>
      <w:r w:rsidR="00B364B9">
        <w:rPr>
          <w:color w:val="00B050"/>
          <w:sz w:val="22"/>
          <w:szCs w:val="22"/>
        </w:rPr>
        <w:t xml:space="preserve"> </w:t>
      </w:r>
      <w:r w:rsidR="00AF035A">
        <w:rPr>
          <w:color w:val="00B050"/>
          <w:sz w:val="22"/>
          <w:szCs w:val="22"/>
        </w:rPr>
        <w:t xml:space="preserve">identified and </w:t>
      </w:r>
      <w:r w:rsidR="00B364B9">
        <w:rPr>
          <w:color w:val="00B050"/>
          <w:sz w:val="22"/>
          <w:szCs w:val="22"/>
        </w:rPr>
        <w:t>confirmed</w:t>
      </w:r>
      <w:r w:rsidR="00AF035A">
        <w:rPr>
          <w:color w:val="00B050"/>
          <w:sz w:val="22"/>
          <w:szCs w:val="22"/>
        </w:rPr>
        <w:t xml:space="preserve"> by two authors</w:t>
      </w:r>
      <w:r w:rsidR="006B148A">
        <w:rPr>
          <w:color w:val="00B050"/>
          <w:sz w:val="22"/>
          <w:szCs w:val="22"/>
        </w:rPr>
        <w:t>,</w:t>
      </w:r>
      <w:r w:rsidR="00AF035A">
        <w:rPr>
          <w:color w:val="00B050"/>
          <w:sz w:val="22"/>
          <w:szCs w:val="22"/>
        </w:rPr>
        <w:t xml:space="preserve"> </w:t>
      </w:r>
      <w:r w:rsidR="006B148A">
        <w:rPr>
          <w:color w:val="00B050"/>
          <w:sz w:val="22"/>
          <w:szCs w:val="22"/>
        </w:rPr>
        <w:t xml:space="preserve">while limiting the number </w:t>
      </w:r>
      <w:r w:rsidR="00E046C3">
        <w:rPr>
          <w:color w:val="00B050"/>
          <w:sz w:val="22"/>
          <w:szCs w:val="22"/>
        </w:rPr>
        <w:t>of detections</w:t>
      </w:r>
      <w:r w:rsidR="00AF035A">
        <w:rPr>
          <w:color w:val="00B050"/>
          <w:sz w:val="22"/>
          <w:szCs w:val="22"/>
        </w:rPr>
        <w:t xml:space="preserve"> trigger</w:t>
      </w:r>
      <w:r w:rsidR="00E046C3">
        <w:rPr>
          <w:color w:val="00B050"/>
          <w:sz w:val="22"/>
          <w:szCs w:val="22"/>
        </w:rPr>
        <w:t xml:space="preserve">ed </w:t>
      </w:r>
      <w:r w:rsidR="00E217D1">
        <w:rPr>
          <w:color w:val="00B050"/>
          <w:sz w:val="22"/>
          <w:szCs w:val="22"/>
        </w:rPr>
        <w:t>by</w:t>
      </w:r>
      <w:r w:rsidR="0065441D">
        <w:rPr>
          <w:color w:val="00B050"/>
          <w:sz w:val="22"/>
          <w:szCs w:val="22"/>
        </w:rPr>
        <w:t xml:space="preserve"> non-physical</w:t>
      </w:r>
      <w:r w:rsidR="00AF035A">
        <w:rPr>
          <w:color w:val="00B050"/>
          <w:sz w:val="22"/>
          <w:szCs w:val="22"/>
        </w:rPr>
        <w:t xml:space="preserve"> noisy spikes</w:t>
      </w:r>
      <w:r w:rsidR="00AD1CC4">
        <w:rPr>
          <w:color w:val="00B050"/>
          <w:sz w:val="22"/>
          <w:szCs w:val="22"/>
        </w:rPr>
        <w:t>.</w:t>
      </w:r>
      <w:bookmarkStart w:id="0" w:name="_GoBack"/>
      <w:bookmarkEnd w:id="0"/>
    </w:p>
    <w:p w14:paraId="65D5AAED" w14:textId="77777777" w:rsidR="00AC45B2" w:rsidRPr="008D748D" w:rsidRDefault="00AC45B2" w:rsidP="00326215">
      <w:pPr>
        <w:pStyle w:val="Default"/>
        <w:rPr>
          <w:sz w:val="22"/>
          <w:szCs w:val="22"/>
        </w:rPr>
      </w:pPr>
    </w:p>
    <w:p w14:paraId="066E408D" w14:textId="1E22A375" w:rsidR="00326215" w:rsidRDefault="00326215" w:rsidP="00326215">
      <w:pPr>
        <w:pStyle w:val="Default"/>
        <w:rPr>
          <w:sz w:val="22"/>
          <w:szCs w:val="22"/>
        </w:rPr>
      </w:pPr>
      <w:r w:rsidRPr="008D748D">
        <w:rPr>
          <w:sz w:val="22"/>
          <w:szCs w:val="22"/>
        </w:rPr>
        <w:t xml:space="preserve">Lines 253-254: Is the PDF trend in Figure 3 and 4 </w:t>
      </w:r>
      <w:proofErr w:type="gramStart"/>
      <w:r w:rsidRPr="008D748D">
        <w:rPr>
          <w:sz w:val="22"/>
          <w:szCs w:val="22"/>
        </w:rPr>
        <w:t>actually similar</w:t>
      </w:r>
      <w:proofErr w:type="gramEnd"/>
      <w:r w:rsidRPr="008D748D">
        <w:rPr>
          <w:sz w:val="22"/>
          <w:szCs w:val="22"/>
        </w:rPr>
        <w:t xml:space="preserve">? </w:t>
      </w:r>
    </w:p>
    <w:p w14:paraId="31E58497" w14:textId="6A530724" w:rsidR="006E73E2" w:rsidRPr="006E73E2" w:rsidRDefault="006E73E2" w:rsidP="00326215">
      <w:pPr>
        <w:pStyle w:val="Default"/>
        <w:rPr>
          <w:color w:val="00B050"/>
          <w:sz w:val="22"/>
          <w:szCs w:val="22"/>
        </w:rPr>
      </w:pPr>
      <w:r w:rsidRPr="006E73E2">
        <w:rPr>
          <w:color w:val="00B050"/>
          <w:sz w:val="22"/>
          <w:szCs w:val="22"/>
        </w:rPr>
        <w:t>We only intended to draw attention to the qualitative nature of the two plots. We have added this qualifier</w:t>
      </w:r>
      <w:r w:rsidR="00032E51">
        <w:rPr>
          <w:color w:val="00B050"/>
          <w:sz w:val="22"/>
          <w:szCs w:val="22"/>
        </w:rPr>
        <w:t xml:space="preserve"> and changed the emphasis to the CDF curves</w:t>
      </w:r>
      <w:r w:rsidRPr="006E73E2">
        <w:rPr>
          <w:color w:val="00B050"/>
          <w:sz w:val="22"/>
          <w:szCs w:val="22"/>
        </w:rPr>
        <w:t>.</w:t>
      </w:r>
    </w:p>
    <w:p w14:paraId="2569E3BD" w14:textId="77777777" w:rsidR="00066692" w:rsidRPr="008D748D" w:rsidRDefault="00066692" w:rsidP="00326215">
      <w:pPr>
        <w:pStyle w:val="Default"/>
        <w:rPr>
          <w:sz w:val="22"/>
          <w:szCs w:val="22"/>
        </w:rPr>
      </w:pPr>
    </w:p>
    <w:p w14:paraId="63EA61BB" w14:textId="31B4228B" w:rsidR="00FB385B" w:rsidRPr="00066692" w:rsidRDefault="00326215" w:rsidP="00326215">
      <w:pPr>
        <w:pStyle w:val="Default"/>
        <w:rPr>
          <w:rFonts w:asciiTheme="minorHAnsi" w:hAnsiTheme="minorHAnsi" w:cstheme="minorHAnsi"/>
          <w:sz w:val="22"/>
          <w:szCs w:val="22"/>
        </w:rPr>
      </w:pPr>
      <w:r w:rsidRPr="00066692">
        <w:rPr>
          <w:rFonts w:asciiTheme="minorHAnsi" w:hAnsiTheme="minorHAnsi" w:cstheme="minorHAnsi"/>
          <w:sz w:val="22"/>
          <w:szCs w:val="22"/>
        </w:rPr>
        <w:lastRenderedPageBreak/>
        <w:t xml:space="preserve">Line 314: Small typo: “must less” -&gt; “must be less” </w:t>
      </w:r>
    </w:p>
    <w:p w14:paraId="4EAF0410" w14:textId="3D840085" w:rsidR="00326215" w:rsidRPr="00066692" w:rsidRDefault="000A0D9C" w:rsidP="00326215">
      <w:pPr>
        <w:pStyle w:val="Default"/>
        <w:rPr>
          <w:rFonts w:asciiTheme="minorHAnsi" w:hAnsiTheme="minorHAnsi" w:cstheme="minorHAnsi"/>
          <w:color w:val="00B050"/>
          <w:sz w:val="22"/>
          <w:szCs w:val="22"/>
        </w:rPr>
      </w:pPr>
      <w:r w:rsidRPr="00066692">
        <w:rPr>
          <w:rFonts w:asciiTheme="minorHAnsi" w:hAnsiTheme="minorHAnsi" w:cstheme="minorHAnsi"/>
          <w:color w:val="00B050"/>
          <w:sz w:val="22"/>
          <w:szCs w:val="22"/>
        </w:rPr>
        <w:t>Done</w:t>
      </w:r>
    </w:p>
    <w:p w14:paraId="7C43FFC4" w14:textId="77777777" w:rsidR="00AC45B2" w:rsidRPr="00066692" w:rsidRDefault="00AC45B2" w:rsidP="00326215">
      <w:pPr>
        <w:pStyle w:val="Default"/>
        <w:rPr>
          <w:rFonts w:asciiTheme="minorHAnsi" w:hAnsiTheme="minorHAnsi" w:cstheme="minorHAnsi"/>
          <w:sz w:val="22"/>
          <w:szCs w:val="22"/>
        </w:rPr>
      </w:pPr>
    </w:p>
    <w:p w14:paraId="02529B16" w14:textId="4192201C" w:rsidR="00FB385B" w:rsidRPr="00066692" w:rsidRDefault="00326215" w:rsidP="00066692">
      <w:pPr>
        <w:spacing w:line="240" w:lineRule="auto"/>
        <w:rPr>
          <w:rFonts w:cstheme="minorHAnsi"/>
        </w:rPr>
      </w:pPr>
      <w:r w:rsidRPr="00066692">
        <w:rPr>
          <w:rFonts w:cstheme="minorHAnsi"/>
        </w:rPr>
        <w:t xml:space="preserve">Line 432: Does nature </w:t>
      </w:r>
      <w:r w:rsidR="00FB385B" w:rsidRPr="00066692">
        <w:rPr>
          <w:rFonts w:cstheme="minorHAnsi"/>
        </w:rPr>
        <w:t>prefer</w:t>
      </w:r>
      <w:r w:rsidRPr="00066692">
        <w:rPr>
          <w:rFonts w:cstheme="minorHAnsi"/>
        </w:rPr>
        <w:t xml:space="preserve"> a microburst PDF? What do you mean? Maybe it’s the PDF that nature most resembles?</w:t>
      </w:r>
    </w:p>
    <w:p w14:paraId="4392BEC4" w14:textId="56652BEA" w:rsidR="007868D2" w:rsidRPr="00066692" w:rsidRDefault="007868D2" w:rsidP="00066692">
      <w:pPr>
        <w:spacing w:line="240" w:lineRule="auto"/>
        <w:rPr>
          <w:rFonts w:cstheme="minorHAnsi"/>
        </w:rPr>
      </w:pPr>
      <w:r w:rsidRPr="00066692">
        <w:rPr>
          <w:rFonts w:cstheme="minorHAnsi"/>
          <w:color w:val="00B050"/>
        </w:rPr>
        <w:t>Done</w:t>
      </w:r>
    </w:p>
    <w:sectPr w:rsidR="007868D2" w:rsidRPr="0006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32E51"/>
    <w:rsid w:val="00036FFF"/>
    <w:rsid w:val="00046C59"/>
    <w:rsid w:val="000608B8"/>
    <w:rsid w:val="00060B5A"/>
    <w:rsid w:val="0006148C"/>
    <w:rsid w:val="00066692"/>
    <w:rsid w:val="0007329F"/>
    <w:rsid w:val="00073E78"/>
    <w:rsid w:val="000765D3"/>
    <w:rsid w:val="00077DE9"/>
    <w:rsid w:val="000856E7"/>
    <w:rsid w:val="00086DF1"/>
    <w:rsid w:val="00090E49"/>
    <w:rsid w:val="00090E5D"/>
    <w:rsid w:val="000A0D9C"/>
    <w:rsid w:val="000B3FA7"/>
    <w:rsid w:val="000C2BD8"/>
    <w:rsid w:val="000F15A7"/>
    <w:rsid w:val="000F2CE0"/>
    <w:rsid w:val="000F6D2A"/>
    <w:rsid w:val="000F7085"/>
    <w:rsid w:val="00110AB2"/>
    <w:rsid w:val="00110B1E"/>
    <w:rsid w:val="00133469"/>
    <w:rsid w:val="001336E1"/>
    <w:rsid w:val="00144590"/>
    <w:rsid w:val="00154EF2"/>
    <w:rsid w:val="0015765F"/>
    <w:rsid w:val="001602CB"/>
    <w:rsid w:val="0016366D"/>
    <w:rsid w:val="001740DE"/>
    <w:rsid w:val="001A5EB6"/>
    <w:rsid w:val="001D1E24"/>
    <w:rsid w:val="001D29A2"/>
    <w:rsid w:val="00201535"/>
    <w:rsid w:val="00204BEC"/>
    <w:rsid w:val="00207416"/>
    <w:rsid w:val="00207594"/>
    <w:rsid w:val="00210DA5"/>
    <w:rsid w:val="00212DC7"/>
    <w:rsid w:val="00230F98"/>
    <w:rsid w:val="00233F30"/>
    <w:rsid w:val="0023725E"/>
    <w:rsid w:val="00243280"/>
    <w:rsid w:val="00254587"/>
    <w:rsid w:val="00255B58"/>
    <w:rsid w:val="00262757"/>
    <w:rsid w:val="00273D83"/>
    <w:rsid w:val="00277243"/>
    <w:rsid w:val="002866F4"/>
    <w:rsid w:val="00294260"/>
    <w:rsid w:val="002971CB"/>
    <w:rsid w:val="002A5E66"/>
    <w:rsid w:val="002B12D3"/>
    <w:rsid w:val="002D0A5E"/>
    <w:rsid w:val="002E0696"/>
    <w:rsid w:val="002E697E"/>
    <w:rsid w:val="00315B47"/>
    <w:rsid w:val="00326215"/>
    <w:rsid w:val="00330BDB"/>
    <w:rsid w:val="00335AEB"/>
    <w:rsid w:val="0034023E"/>
    <w:rsid w:val="0036557B"/>
    <w:rsid w:val="00365E05"/>
    <w:rsid w:val="00366C0F"/>
    <w:rsid w:val="00371532"/>
    <w:rsid w:val="0037195E"/>
    <w:rsid w:val="003808A4"/>
    <w:rsid w:val="00383CBD"/>
    <w:rsid w:val="0039299A"/>
    <w:rsid w:val="003D59E2"/>
    <w:rsid w:val="00403F30"/>
    <w:rsid w:val="00410238"/>
    <w:rsid w:val="00414064"/>
    <w:rsid w:val="00414F40"/>
    <w:rsid w:val="00444779"/>
    <w:rsid w:val="00467A9F"/>
    <w:rsid w:val="00473FED"/>
    <w:rsid w:val="0048753F"/>
    <w:rsid w:val="004908EF"/>
    <w:rsid w:val="004A0DAE"/>
    <w:rsid w:val="004C7331"/>
    <w:rsid w:val="004D7E1A"/>
    <w:rsid w:val="004E3B94"/>
    <w:rsid w:val="004E55D2"/>
    <w:rsid w:val="00500067"/>
    <w:rsid w:val="00501E79"/>
    <w:rsid w:val="00510EEE"/>
    <w:rsid w:val="00515910"/>
    <w:rsid w:val="00521663"/>
    <w:rsid w:val="005338DB"/>
    <w:rsid w:val="0054099C"/>
    <w:rsid w:val="00550462"/>
    <w:rsid w:val="00550DCB"/>
    <w:rsid w:val="0057774C"/>
    <w:rsid w:val="00586099"/>
    <w:rsid w:val="005966F6"/>
    <w:rsid w:val="005A4354"/>
    <w:rsid w:val="005B5B29"/>
    <w:rsid w:val="005B5C3A"/>
    <w:rsid w:val="005C2227"/>
    <w:rsid w:val="005C3758"/>
    <w:rsid w:val="005D4EC6"/>
    <w:rsid w:val="005D5499"/>
    <w:rsid w:val="005F08CC"/>
    <w:rsid w:val="005F24DB"/>
    <w:rsid w:val="00603C5D"/>
    <w:rsid w:val="00610D51"/>
    <w:rsid w:val="0061217A"/>
    <w:rsid w:val="0061283D"/>
    <w:rsid w:val="00623404"/>
    <w:rsid w:val="006370BF"/>
    <w:rsid w:val="0065441D"/>
    <w:rsid w:val="006579E8"/>
    <w:rsid w:val="00670CD5"/>
    <w:rsid w:val="00671079"/>
    <w:rsid w:val="00685E20"/>
    <w:rsid w:val="006A62B2"/>
    <w:rsid w:val="006B0EBF"/>
    <w:rsid w:val="006B148A"/>
    <w:rsid w:val="006C6D6D"/>
    <w:rsid w:val="006E73E2"/>
    <w:rsid w:val="006F3AC3"/>
    <w:rsid w:val="006F5B14"/>
    <w:rsid w:val="006F7DB8"/>
    <w:rsid w:val="00713079"/>
    <w:rsid w:val="0073303E"/>
    <w:rsid w:val="00742E71"/>
    <w:rsid w:val="00761ECB"/>
    <w:rsid w:val="007662E5"/>
    <w:rsid w:val="00776F8B"/>
    <w:rsid w:val="00781D86"/>
    <w:rsid w:val="007868D2"/>
    <w:rsid w:val="00790C9C"/>
    <w:rsid w:val="007C023E"/>
    <w:rsid w:val="007D5888"/>
    <w:rsid w:val="008021C9"/>
    <w:rsid w:val="00806BC3"/>
    <w:rsid w:val="00822909"/>
    <w:rsid w:val="008322C9"/>
    <w:rsid w:val="00832C50"/>
    <w:rsid w:val="00840DBB"/>
    <w:rsid w:val="00841066"/>
    <w:rsid w:val="00847D5D"/>
    <w:rsid w:val="0085500E"/>
    <w:rsid w:val="0086500D"/>
    <w:rsid w:val="00865225"/>
    <w:rsid w:val="00867BA4"/>
    <w:rsid w:val="00870595"/>
    <w:rsid w:val="00886F15"/>
    <w:rsid w:val="008A1879"/>
    <w:rsid w:val="008A6DA8"/>
    <w:rsid w:val="008B5649"/>
    <w:rsid w:val="008C0D9D"/>
    <w:rsid w:val="008C680B"/>
    <w:rsid w:val="008C7322"/>
    <w:rsid w:val="008D6F36"/>
    <w:rsid w:val="008D748D"/>
    <w:rsid w:val="008D7DF3"/>
    <w:rsid w:val="008E0FE7"/>
    <w:rsid w:val="008F0EA8"/>
    <w:rsid w:val="008F118D"/>
    <w:rsid w:val="00911101"/>
    <w:rsid w:val="00921E2B"/>
    <w:rsid w:val="0095031B"/>
    <w:rsid w:val="00954BD7"/>
    <w:rsid w:val="00982A30"/>
    <w:rsid w:val="0098482A"/>
    <w:rsid w:val="009A120F"/>
    <w:rsid w:val="009A6533"/>
    <w:rsid w:val="009A7BC4"/>
    <w:rsid w:val="009B35B3"/>
    <w:rsid w:val="009B44E5"/>
    <w:rsid w:val="009B7C52"/>
    <w:rsid w:val="009C0803"/>
    <w:rsid w:val="009C2EE6"/>
    <w:rsid w:val="00A00123"/>
    <w:rsid w:val="00A01468"/>
    <w:rsid w:val="00A31304"/>
    <w:rsid w:val="00A40D0A"/>
    <w:rsid w:val="00A427CC"/>
    <w:rsid w:val="00A57DB9"/>
    <w:rsid w:val="00A701FF"/>
    <w:rsid w:val="00A70833"/>
    <w:rsid w:val="00A71AB0"/>
    <w:rsid w:val="00A90CD4"/>
    <w:rsid w:val="00A93E82"/>
    <w:rsid w:val="00AA11A9"/>
    <w:rsid w:val="00AB6526"/>
    <w:rsid w:val="00AC45B2"/>
    <w:rsid w:val="00AD1CC4"/>
    <w:rsid w:val="00AE10AF"/>
    <w:rsid w:val="00AE6C1C"/>
    <w:rsid w:val="00AF035A"/>
    <w:rsid w:val="00B12E87"/>
    <w:rsid w:val="00B17849"/>
    <w:rsid w:val="00B32EAD"/>
    <w:rsid w:val="00B361BD"/>
    <w:rsid w:val="00B364B9"/>
    <w:rsid w:val="00B615A8"/>
    <w:rsid w:val="00B654A5"/>
    <w:rsid w:val="00B7264B"/>
    <w:rsid w:val="00BA6BA8"/>
    <w:rsid w:val="00BE4B3F"/>
    <w:rsid w:val="00BF7EBA"/>
    <w:rsid w:val="00C01642"/>
    <w:rsid w:val="00C1333C"/>
    <w:rsid w:val="00C17206"/>
    <w:rsid w:val="00C20AF5"/>
    <w:rsid w:val="00C21194"/>
    <w:rsid w:val="00C3023B"/>
    <w:rsid w:val="00C329B1"/>
    <w:rsid w:val="00C37338"/>
    <w:rsid w:val="00C45A81"/>
    <w:rsid w:val="00C527B6"/>
    <w:rsid w:val="00C6005B"/>
    <w:rsid w:val="00C6412A"/>
    <w:rsid w:val="00C6600E"/>
    <w:rsid w:val="00C708E0"/>
    <w:rsid w:val="00C86FDD"/>
    <w:rsid w:val="00C878EC"/>
    <w:rsid w:val="00CA2E46"/>
    <w:rsid w:val="00CA322D"/>
    <w:rsid w:val="00CA4758"/>
    <w:rsid w:val="00CC60CB"/>
    <w:rsid w:val="00CD5DF1"/>
    <w:rsid w:val="00CE08A6"/>
    <w:rsid w:val="00CE0CA3"/>
    <w:rsid w:val="00CE2B3A"/>
    <w:rsid w:val="00CE5D6A"/>
    <w:rsid w:val="00CF08C8"/>
    <w:rsid w:val="00D01554"/>
    <w:rsid w:val="00D021FF"/>
    <w:rsid w:val="00D06B5D"/>
    <w:rsid w:val="00D1567A"/>
    <w:rsid w:val="00D20B83"/>
    <w:rsid w:val="00D229B3"/>
    <w:rsid w:val="00D730F1"/>
    <w:rsid w:val="00D73C62"/>
    <w:rsid w:val="00D766C3"/>
    <w:rsid w:val="00D87ECD"/>
    <w:rsid w:val="00D938AC"/>
    <w:rsid w:val="00D951C2"/>
    <w:rsid w:val="00DA32CA"/>
    <w:rsid w:val="00DA5010"/>
    <w:rsid w:val="00DC3DDB"/>
    <w:rsid w:val="00DD0814"/>
    <w:rsid w:val="00DF6336"/>
    <w:rsid w:val="00DF6C98"/>
    <w:rsid w:val="00E046C3"/>
    <w:rsid w:val="00E217D1"/>
    <w:rsid w:val="00E223CD"/>
    <w:rsid w:val="00E256A3"/>
    <w:rsid w:val="00E3147D"/>
    <w:rsid w:val="00E41647"/>
    <w:rsid w:val="00E70CFB"/>
    <w:rsid w:val="00E820D4"/>
    <w:rsid w:val="00E936BA"/>
    <w:rsid w:val="00EA6E51"/>
    <w:rsid w:val="00ED6932"/>
    <w:rsid w:val="00EE15DE"/>
    <w:rsid w:val="00EE2C94"/>
    <w:rsid w:val="00EF2939"/>
    <w:rsid w:val="00EF4FAE"/>
    <w:rsid w:val="00F1253F"/>
    <w:rsid w:val="00F1581D"/>
    <w:rsid w:val="00F343C7"/>
    <w:rsid w:val="00F44B39"/>
    <w:rsid w:val="00F53065"/>
    <w:rsid w:val="00F645F4"/>
    <w:rsid w:val="00F93715"/>
    <w:rsid w:val="00FB385B"/>
    <w:rsid w:val="00FD11F6"/>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7485A-375A-494B-9ECB-8B866884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7958</TotalTime>
  <Pages>5</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262</cp:revision>
  <dcterms:created xsi:type="dcterms:W3CDTF">2019-12-21T00:33:00Z</dcterms:created>
  <dcterms:modified xsi:type="dcterms:W3CDTF">2020-01-08T08:17:00Z</dcterms:modified>
</cp:coreProperties>
</file>