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19CAD85A" w14:textId="6F30B906" w:rsidR="00FF54B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t>
      </w:r>
      <w:r w:rsidR="00FF54B0">
        <w:rPr>
          <w:rFonts w:ascii="Arial" w:hAnsi="Arial" w:cs="Arial"/>
        </w:rPr>
        <w:t>We greatly appreciate your feedback.</w:t>
      </w:r>
    </w:p>
    <w:p w14:paraId="04944211" w14:textId="77777777" w:rsidR="00FF54B0" w:rsidRDefault="00FF54B0">
      <w:pPr>
        <w:rPr>
          <w:rFonts w:ascii="Arial" w:hAnsi="Arial" w:cs="Arial"/>
        </w:rPr>
      </w:pPr>
    </w:p>
    <w:p w14:paraId="723EB4D3" w14:textId="64BF9A15" w:rsidR="00875BB2" w:rsidRPr="00A65C70" w:rsidRDefault="00F01E08">
      <w:pPr>
        <w:rPr>
          <w:rFonts w:ascii="Arial" w:hAnsi="Arial" w:cs="Arial"/>
        </w:rPr>
      </w:pPr>
      <w:r w:rsidRPr="00A65C70">
        <w:rPr>
          <w:rFonts w:ascii="Arial" w:hAnsi="Arial" w:cs="Arial"/>
        </w:rPr>
        <w:t>We incorporated your suggestions into the manuscript and made numerous minor grammatical improvements.</w:t>
      </w:r>
      <w:r w:rsidR="00E0632A">
        <w:rPr>
          <w:rFonts w:ascii="Arial" w:hAnsi="Arial" w:cs="Arial"/>
        </w:rPr>
        <w:t xml:space="preserve"> In this letter o</w:t>
      </w:r>
      <w:r w:rsidRPr="00A65C70">
        <w:rPr>
          <w:rFonts w:ascii="Arial" w:hAnsi="Arial" w:cs="Arial"/>
        </w:rPr>
        <w:t xml:space="preserve">ur responses to your feedback are </w:t>
      </w:r>
      <w:r w:rsidR="00E0632A">
        <w:rPr>
          <w:rFonts w:ascii="Arial" w:hAnsi="Arial" w:cs="Arial"/>
        </w:rPr>
        <w:t xml:space="preserve">in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t>
      </w:r>
      <w:r w:rsidR="00E0632A">
        <w:rPr>
          <w:rFonts w:ascii="Arial" w:hAnsi="Arial" w:cs="Arial"/>
        </w:rPr>
        <w:t>Lastly, w</w:t>
      </w:r>
      <w:r w:rsidR="00354627" w:rsidRPr="00A65C70">
        <w:rPr>
          <w:rFonts w:ascii="Arial" w:hAnsi="Arial" w:cs="Arial"/>
        </w:rPr>
        <w:t xml:space="preserve">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4F47E14A" w:rsidR="00875BB2" w:rsidRPr="00A65C70" w:rsidRDefault="00E0632A">
      <w:pPr>
        <w:rPr>
          <w:rFonts w:ascii="Arial" w:hAnsi="Arial" w:cs="Arial"/>
        </w:rPr>
      </w:pPr>
      <w:r>
        <w:rPr>
          <w:rFonts w:ascii="Arial" w:hAnsi="Arial" w:cs="Arial"/>
        </w:rPr>
        <w:t>Mykhaylo (</w:t>
      </w:r>
      <w:r w:rsidR="00F01E08" w:rsidRPr="00A65C70">
        <w:rPr>
          <w:rFonts w:ascii="Arial" w:hAnsi="Arial" w:cs="Arial"/>
        </w:rPr>
        <w:t>Mike</w:t>
      </w:r>
      <w:r>
        <w:rPr>
          <w:rFonts w:ascii="Arial" w:hAnsi="Arial" w:cs="Arial"/>
        </w:rPr>
        <w:t>)</w:t>
      </w:r>
      <w:r w:rsidR="00F01E08" w:rsidRPr="00A65C70">
        <w:rPr>
          <w:rFonts w:ascii="Arial" w:hAnsi="Arial" w:cs="Arial"/>
        </w:rPr>
        <w:t xml:space="preserv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w:t>
      </w:r>
      <w:r w:rsidRPr="00A65C70">
        <w:rPr>
          <w:rFonts w:ascii="Arial" w:hAnsi="Arial" w:cs="Arial"/>
          <w:color w:val="00B050"/>
        </w:rPr>
        <w:lastRenderedPageBreak/>
        <w:t xml:space="preserve">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we removed the two 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F7A2BF2"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w:t>
      </w:r>
      <w:r w:rsidR="00EA6361">
        <w:rPr>
          <w:rFonts w:ascii="Arial" w:hAnsi="Arial" w:cs="Arial"/>
          <w:color w:val="00B050"/>
        </w:rPr>
        <w:t>four</w:t>
      </w:r>
      <w:r w:rsidR="00FE6BFD" w:rsidRPr="00A65C70">
        <w:rPr>
          <w:rFonts w:ascii="Arial" w:hAnsi="Arial" w:cs="Arial"/>
          <w:color w:val="00B050"/>
        </w:rPr>
        <w:t xml:space="preserve"> authors</w:t>
      </w:r>
      <w:r w:rsidR="009F4515" w:rsidRPr="00A65C70">
        <w:rPr>
          <w:rFonts w:ascii="Arial" w:hAnsi="Arial" w:cs="Arial"/>
          <w:color w:val="00B050"/>
        </w:rPr>
        <w:t xml:space="preserve"> of that </w:t>
      </w:r>
      <w:r w:rsidR="002B2BE1">
        <w:rPr>
          <w:rFonts w:ascii="Arial" w:hAnsi="Arial" w:cs="Arial"/>
          <w:color w:val="00B050"/>
        </w:rPr>
        <w:t>paper</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719F395D" w:rsidR="008C3ECD" w:rsidRDefault="00A65C70">
      <w:pPr>
        <w:rPr>
          <w:rFonts w:ascii="Arial" w:hAnsi="Arial" w:cs="Arial"/>
          <w:color w:val="FF0000"/>
        </w:rPr>
      </w:pPr>
      <w:r w:rsidRPr="00A65C70">
        <w:rPr>
          <w:rFonts w:ascii="Arial" w:hAnsi="Arial" w:cs="Arial"/>
          <w:color w:val="00B050"/>
        </w:rPr>
        <w:lastRenderedPageBreak/>
        <w:t>We agree that the recent use of the word marginalize has a strong negative meaning, however it is a common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6"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572CE255" w14:textId="438032ED" w:rsidR="00875BB2" w:rsidRPr="00A65C70" w:rsidRDefault="00F01E08">
      <w:pPr>
        <w:rPr>
          <w:rFonts w:ascii="Arial" w:hAnsi="Arial" w:cs="Arial"/>
          <w:color w:val="FF0000"/>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rsidRPr="00A65C70">
        <w:rPr>
          <w:rFonts w:ascii="Arial" w:hAnsi="Arial" w:cs="Arial"/>
        </w:rPr>
        <w:br/>
      </w:r>
      <w:r w:rsidRPr="00A65C70">
        <w:rPr>
          <w:rFonts w:ascii="Arial" w:hAnsi="Arial" w:cs="Arial"/>
        </w:rPr>
        <w:br/>
      </w:r>
      <w:r w:rsidRPr="00A65C70">
        <w:rPr>
          <w:rFonts w:ascii="Arial" w:hAnsi="Arial" w:cs="Arial"/>
          <w:color w:val="222222"/>
        </w:rPr>
        <w:t>L214: change wording: "it longer overlaps with just the microburst"</w:t>
      </w:r>
      <w:r w:rsidRPr="00A65C70">
        <w:rPr>
          <w:rFonts w:ascii="Arial" w:hAnsi="Arial" w:cs="Arial"/>
        </w:rPr>
        <w:br/>
      </w:r>
      <w:r w:rsidRPr="00A65C70">
        <w:rPr>
          <w:rFonts w:ascii="Arial" w:hAnsi="Arial" w:cs="Arial"/>
        </w:rPr>
        <w:br/>
      </w:r>
      <w:r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Pr="00A65C70">
        <w:rPr>
          <w:rFonts w:ascii="Arial" w:hAnsi="Arial" w:cs="Arial"/>
        </w:rPr>
        <w:br/>
      </w:r>
      <w:r w:rsidRPr="00A65C70">
        <w:rPr>
          <w:rFonts w:ascii="Arial" w:hAnsi="Arial" w:cs="Arial"/>
        </w:rPr>
        <w:br/>
      </w:r>
      <w:r w:rsidRPr="00A65C70">
        <w:rPr>
          <w:rFonts w:ascii="Arial" w:hAnsi="Arial" w:cs="Arial"/>
          <w:color w:val="222222"/>
        </w:rPr>
        <w:t>L227: Should reference Fig4b when discussing the MLT trend</w:t>
      </w:r>
      <w:r w:rsidRPr="00A65C70">
        <w:rPr>
          <w:rFonts w:ascii="Arial" w:hAnsi="Arial" w:cs="Arial"/>
        </w:rPr>
        <w:br/>
      </w:r>
      <w:r w:rsidRPr="00A65C70">
        <w:rPr>
          <w:rFonts w:ascii="Arial" w:hAnsi="Arial" w:cs="Arial"/>
        </w:rPr>
        <w:br/>
      </w:r>
      <w:r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Pr="00A65C70">
        <w:rPr>
          <w:rFonts w:ascii="Arial" w:hAnsi="Arial" w:cs="Arial"/>
        </w:rPr>
        <w:br/>
      </w:r>
      <w:r w:rsidRPr="00A65C70">
        <w:rPr>
          <w:rFonts w:ascii="Arial" w:hAnsi="Arial" w:cs="Arial"/>
        </w:rPr>
        <w:br/>
      </w:r>
      <w:r w:rsidRPr="00A65C70">
        <w:rPr>
          <w:rFonts w:ascii="Arial" w:hAnsi="Arial" w:cs="Arial"/>
          <w:color w:val="222222"/>
        </w:rPr>
        <w:t>L239: fix "Aa s"</w:t>
      </w:r>
      <w:r w:rsidRPr="00A65C70">
        <w:rPr>
          <w:rFonts w:ascii="Arial" w:hAnsi="Arial" w:cs="Arial"/>
        </w:rPr>
        <w:br/>
      </w:r>
      <w:r w:rsidRPr="00A65C70">
        <w:rPr>
          <w:rFonts w:ascii="Arial" w:hAnsi="Arial" w:cs="Arial"/>
        </w:rPr>
        <w:br/>
      </w:r>
      <w:r w:rsidRPr="00A65C70">
        <w:rPr>
          <w:rFonts w:ascii="Arial" w:hAnsi="Arial" w:cs="Arial"/>
          <w:color w:val="222222"/>
        </w:rPr>
        <w:t>L243: Any guesses as to the duration discrepancy b/t chorus and microbursts?</w:t>
      </w:r>
      <w:r w:rsidRPr="00A65C70">
        <w:rPr>
          <w:rFonts w:ascii="Arial" w:hAnsi="Arial" w:cs="Arial"/>
        </w:rPr>
        <w:br/>
      </w:r>
      <w:r w:rsidRPr="00A65C70">
        <w:rPr>
          <w:rFonts w:ascii="Arial" w:hAnsi="Arial" w:cs="Arial"/>
        </w:rPr>
        <w:br/>
      </w:r>
      <w:r w:rsidRPr="00A65C70">
        <w:rPr>
          <w:rFonts w:ascii="Arial" w:hAnsi="Arial" w:cs="Arial"/>
          <w:color w:val="222222"/>
        </w:rPr>
        <w:t xml:space="preserve">L243: Please comment on this. By scale factor do you mean 250ms/95ms ~ 3 for AE&gt;300nT and 500ms/130ms &gt; 3 for AE&lt;100 </w:t>
      </w:r>
      <w:proofErr w:type="spellStart"/>
      <w:r w:rsidRPr="00A65C70">
        <w:rPr>
          <w:rFonts w:ascii="Arial" w:hAnsi="Arial" w:cs="Arial"/>
          <w:color w:val="222222"/>
        </w:rPr>
        <w:t>nT</w:t>
      </w:r>
      <w:proofErr w:type="spellEnd"/>
      <w:r w:rsidRPr="00A65C70">
        <w:rPr>
          <w:rFonts w:ascii="Arial" w:hAnsi="Arial" w:cs="Arial"/>
          <w:color w:val="222222"/>
        </w:rPr>
        <w:t>?</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L248: Be clear that you are talking about the upper value of the absolute value of the magnetic latitude</w:t>
      </w:r>
      <w:r w:rsidRPr="00A65C70">
        <w:rPr>
          <w:rFonts w:ascii="Arial" w:hAnsi="Arial" w:cs="Arial"/>
        </w:rPr>
        <w:br/>
      </w:r>
      <w:r w:rsidRPr="00A65C70">
        <w:rPr>
          <w:rFonts w:ascii="Arial" w:hAnsi="Arial" w:cs="Arial"/>
        </w:rPr>
        <w:br/>
      </w:r>
      <w:r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Pr="00A65C70">
        <w:rPr>
          <w:rFonts w:ascii="Arial" w:hAnsi="Arial" w:cs="Arial"/>
        </w:rPr>
        <w:br/>
      </w:r>
      <w:r w:rsidRPr="00A65C70">
        <w:rPr>
          <w:rFonts w:ascii="Arial" w:hAnsi="Arial" w:cs="Arial"/>
        </w:rPr>
        <w:br/>
      </w:r>
      <w:r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L272: Be clear that previous work found that chorus durations double in MLT, not this paper.</w:t>
      </w:r>
      <w:r w:rsidRPr="00A65C70">
        <w:rPr>
          <w:rFonts w:ascii="Arial" w:hAnsi="Arial" w:cs="Arial"/>
        </w:rPr>
        <w:br/>
      </w:r>
      <w:r w:rsidRPr="00A65C70">
        <w:rPr>
          <w:rFonts w:ascii="Arial" w:hAnsi="Arial" w:cs="Arial"/>
        </w:rPr>
        <w:br/>
      </w:r>
      <w:r w:rsidRPr="00A65C70">
        <w:rPr>
          <w:rFonts w:ascii="Arial" w:hAnsi="Arial" w:cs="Arial"/>
          <w:color w:val="222222"/>
        </w:rPr>
        <w:t>Figure 1: "lines" should probably be "curves"</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 xml:space="preserve">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w:t>
      </w:r>
      <w:proofErr w:type="gramStart"/>
      <w:r w:rsidRPr="00A65C70">
        <w:rPr>
          <w:rFonts w:ascii="Arial" w:hAnsi="Arial" w:cs="Arial"/>
          <w:color w:val="222222"/>
        </w:rPr>
        <w:t>Are</w:t>
      </w:r>
      <w:proofErr w:type="gramEnd"/>
      <w:r w:rsidRPr="00A65C70">
        <w:rPr>
          <w:rFonts w:ascii="Arial" w:hAnsi="Arial" w:cs="Arial"/>
          <w:color w:val="222222"/>
        </w:rPr>
        <w:t xml:space="preserve"> there any reason to consider different duration of low-latitude/high-latitude chorus waves?</w:t>
      </w:r>
    </w:p>
    <w:p w14:paraId="6A10C572" w14:textId="77777777" w:rsidR="00C52C8D" w:rsidRDefault="00C52C8D">
      <w:pPr>
        <w:rPr>
          <w:rFonts w:ascii="Arial" w:hAnsi="Arial" w:cs="Arial"/>
          <w:color w:val="222222"/>
        </w:rPr>
      </w:pPr>
    </w:p>
    <w:p w14:paraId="598C7DE3" w14:textId="6DA911DD" w:rsidR="001822D6" w:rsidRDefault="00C52C8D">
      <w:pPr>
        <w:rPr>
          <w:rFonts w:ascii="Arial" w:hAnsi="Arial" w:cs="Arial"/>
          <w:color w:val="00B050"/>
        </w:rPr>
      </w:pPr>
      <w:r w:rsidRPr="00C52C8D">
        <w:rPr>
          <w:rFonts w:ascii="Arial" w:hAnsi="Arial" w:cs="Arial"/>
          <w:color w:val="00B050"/>
        </w:rPr>
        <w:t xml:space="preserve">To our knowledge there is no statistical study of high latitude chorus rising tone durations, so we </w:t>
      </w:r>
      <w:r w:rsidR="005E27DC">
        <w:rPr>
          <w:rFonts w:ascii="Arial" w:hAnsi="Arial" w:cs="Arial"/>
          <w:color w:val="00B050"/>
        </w:rPr>
        <w:t>don’t</w:t>
      </w:r>
      <w:r w:rsidRPr="00C52C8D">
        <w:rPr>
          <w:rFonts w:ascii="Arial" w:hAnsi="Arial" w:cs="Arial"/>
          <w:color w:val="00B050"/>
        </w:rPr>
        <w:t xml:space="preserve"> know </w:t>
      </w:r>
      <w:r w:rsidR="005E27DC">
        <w:rPr>
          <w:rFonts w:ascii="Arial" w:hAnsi="Arial" w:cs="Arial"/>
          <w:color w:val="00B050"/>
        </w:rPr>
        <w:t>if high-latitude chorus duration is the same</w:t>
      </w:r>
      <w:r w:rsidRPr="00C52C8D">
        <w:rPr>
          <w:rFonts w:ascii="Arial" w:hAnsi="Arial" w:cs="Arial"/>
          <w:color w:val="00B050"/>
        </w:rPr>
        <w:t xml:space="preserve">. 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p>
    <w:p w14:paraId="3E0E65F4" w14:textId="1FB4FCBD" w:rsidR="001822D6" w:rsidRDefault="005E27DC" w:rsidP="005E27DC">
      <w:pPr>
        <w:tabs>
          <w:tab w:val="left" w:pos="3966"/>
        </w:tabs>
        <w:rPr>
          <w:rFonts w:ascii="Arial" w:hAnsi="Arial" w:cs="Arial"/>
          <w:color w:val="00B050"/>
        </w:rPr>
      </w:pPr>
      <w:r>
        <w:rPr>
          <w:rFonts w:ascii="Arial" w:hAnsi="Arial" w:cs="Arial"/>
          <w:color w:val="00B050"/>
        </w:rPr>
        <w:tab/>
      </w:r>
    </w:p>
    <w:p w14:paraId="34D7C00E" w14:textId="7D7D86AF" w:rsidR="00C14A4E" w:rsidRDefault="001822D6">
      <w:pPr>
        <w:rPr>
          <w:rFonts w:ascii="Arial" w:hAnsi="Arial" w:cs="Arial"/>
          <w:color w:val="00B050"/>
        </w:rPr>
      </w:pPr>
      <w:r>
        <w:rPr>
          <w:rFonts w:ascii="Arial" w:hAnsi="Arial" w:cs="Arial"/>
          <w:color w:val="00B050"/>
        </w:rPr>
        <w:t xml:space="preserve">Given the </w:t>
      </w:r>
      <w:proofErr w:type="spellStart"/>
      <w:r w:rsidRPr="00FC29E7">
        <w:rPr>
          <w:rFonts w:ascii="Arial" w:hAnsi="Arial" w:cs="Arial"/>
          <w:i/>
          <w:iCs/>
          <w:color w:val="00B050"/>
        </w:rPr>
        <w:t>Lorentzen</w:t>
      </w:r>
      <w:proofErr w:type="spellEnd"/>
      <w:r w:rsidRPr="00FC29E7">
        <w:rPr>
          <w:rFonts w:ascii="Arial" w:hAnsi="Arial" w:cs="Arial"/>
          <w:i/>
          <w:iCs/>
          <w:color w:val="00B050"/>
        </w:rPr>
        <w:t xml:space="preserve"> et al., 2001</w:t>
      </w:r>
      <w:r w:rsidR="00B3348F">
        <w:rPr>
          <w:rFonts w:ascii="Arial" w:hAnsi="Arial" w:cs="Arial"/>
          <w:color w:val="00B050"/>
        </w:rPr>
        <w:t xml:space="preserve"> </w:t>
      </w:r>
      <w:r>
        <w:rPr>
          <w:rFonts w:ascii="Arial" w:hAnsi="Arial" w:cs="Arial"/>
          <w:color w:val="00B050"/>
        </w:rPr>
        <w:t>result</w:t>
      </w:r>
      <w:r w:rsidR="00FC29E7">
        <w:rPr>
          <w:rFonts w:ascii="Arial" w:hAnsi="Arial" w:cs="Arial"/>
          <w:color w:val="00B050"/>
        </w:rPr>
        <w:t xml:space="preserve"> and </w:t>
      </w:r>
      <w:r w:rsidR="00FC29E7" w:rsidRPr="00FC29E7">
        <w:rPr>
          <w:rFonts w:ascii="Arial" w:hAnsi="Arial" w:cs="Arial"/>
          <w:i/>
          <w:iCs/>
          <w:color w:val="00B050"/>
        </w:rPr>
        <w:t>Millan and Throne 2007</w:t>
      </w:r>
      <w:r w:rsidR="00FC29E7">
        <w:rPr>
          <w:rFonts w:ascii="Arial" w:hAnsi="Arial" w:cs="Arial"/>
          <w:color w:val="00B050"/>
        </w:rPr>
        <w:t xml:space="preserve"> assertion that “</w:t>
      </w:r>
      <w:r w:rsidR="00FC29E7" w:rsidRPr="00FC29E7">
        <w:rPr>
          <w:rFonts w:ascii="Arial" w:hAnsi="Arial" w:cs="Arial"/>
          <w:color w:val="00B050"/>
        </w:rPr>
        <w:t>For resonance to occur at higher</w:t>
      </w:r>
      <w:r w:rsidR="00FC29E7">
        <w:rPr>
          <w:rFonts w:ascii="Arial" w:hAnsi="Arial" w:cs="Arial"/>
          <w:color w:val="00B050"/>
        </w:rPr>
        <w:t xml:space="preserve"> </w:t>
      </w:r>
      <w:r w:rsidR="00FC29E7" w:rsidRPr="00FC29E7">
        <w:rPr>
          <w:rFonts w:ascii="Arial" w:hAnsi="Arial" w:cs="Arial"/>
          <w:color w:val="00B050"/>
        </w:rPr>
        <w:t>energies (approaching 1 MeV), the interaction must</w:t>
      </w:r>
      <w:r w:rsidR="00FC29E7">
        <w:rPr>
          <w:rFonts w:ascii="Arial" w:hAnsi="Arial" w:cs="Arial"/>
          <w:color w:val="00B050"/>
        </w:rPr>
        <w:t xml:space="preserve"> </w:t>
      </w:r>
      <w:r w:rsidR="00FC29E7" w:rsidRPr="00FC29E7">
        <w:rPr>
          <w:rFonts w:ascii="Arial" w:hAnsi="Arial" w:cs="Arial"/>
          <w:color w:val="00B050"/>
        </w:rPr>
        <w:t>take place either at higher harmonic number or at</w:t>
      </w:r>
      <w:r w:rsidR="00FC29E7">
        <w:rPr>
          <w:rFonts w:ascii="Arial" w:hAnsi="Arial" w:cs="Arial"/>
          <w:color w:val="00B050"/>
        </w:rPr>
        <w:t xml:space="preserve"> </w:t>
      </w:r>
      <w:r w:rsidR="00FC29E7" w:rsidRPr="00FC29E7">
        <w:rPr>
          <w:rFonts w:ascii="Arial" w:hAnsi="Arial" w:cs="Arial"/>
          <w:color w:val="00B050"/>
        </w:rPr>
        <w:t>higher latitudes of 20–30</w:t>
      </w:r>
      <w:r w:rsidR="00FC29E7">
        <w:rPr>
          <w:rFonts w:ascii="Arial" w:hAnsi="Arial" w:cs="Arial"/>
          <w:color w:val="00B050"/>
        </w:rPr>
        <w:t xml:space="preserve"> [degrees]”</w:t>
      </w:r>
      <w:r w:rsidR="00D44621">
        <w:rPr>
          <w:rFonts w:ascii="Arial" w:hAnsi="Arial" w:cs="Arial"/>
          <w:color w:val="00B050"/>
        </w:rPr>
        <w:t>, we can make the following inference: S</w:t>
      </w:r>
      <w:r>
        <w:rPr>
          <w:rFonts w:ascii="Arial" w:hAnsi="Arial" w:cs="Arial"/>
          <w:color w:val="00B050"/>
        </w:rPr>
        <w:t xml:space="preserve">ince high latitude chorus waves do not typically occur at midnight MLT, </w:t>
      </w:r>
      <w:r w:rsidR="00D44621">
        <w:rPr>
          <w:rFonts w:ascii="Arial" w:hAnsi="Arial" w:cs="Arial"/>
          <w:color w:val="00B050"/>
        </w:rPr>
        <w:t>it is safe to say</w:t>
      </w:r>
      <w:r w:rsidR="00B3348F">
        <w:rPr>
          <w:rFonts w:ascii="Arial" w:hAnsi="Arial" w:cs="Arial"/>
          <w:color w:val="00B050"/>
        </w:rPr>
        <w:t xml:space="preserve"> </w:t>
      </w:r>
      <w:r>
        <w:rPr>
          <w:rFonts w:ascii="Arial" w:hAnsi="Arial" w:cs="Arial"/>
          <w:color w:val="00B050"/>
        </w:rPr>
        <w:t xml:space="preserve">that the MeV microbursts </w:t>
      </w:r>
      <w:r w:rsidR="00B3348F">
        <w:rPr>
          <w:rFonts w:ascii="Arial" w:hAnsi="Arial" w:cs="Arial"/>
          <w:color w:val="00B050"/>
        </w:rPr>
        <w:t xml:space="preserve">were scattered close to the equator </w:t>
      </w:r>
      <w:r>
        <w:rPr>
          <w:rFonts w:ascii="Arial" w:hAnsi="Arial" w:cs="Arial"/>
          <w:color w:val="00B050"/>
        </w:rPr>
        <w:t xml:space="preserve">at </w:t>
      </w:r>
      <w:r w:rsidR="00D44621">
        <w:rPr>
          <w:rFonts w:ascii="Arial" w:hAnsi="Arial" w:cs="Arial"/>
          <w:color w:val="00B050"/>
        </w:rPr>
        <w:t>that local time. The resonance is</w:t>
      </w:r>
      <w:r>
        <w:rPr>
          <w:rFonts w:ascii="Arial" w:hAnsi="Arial" w:cs="Arial"/>
          <w:color w:val="00B050"/>
        </w:rPr>
        <w:t xml:space="preserve"> likely via a higher order resonance than the cyclotron resonance. Near noon MLT, where chorus waves propagate to higher latitudes, MeV electrons can scatter via a higher order resonance near the equator, or at cyclotron resonance at higher latitudes. </w:t>
      </w:r>
      <w:r w:rsidR="009C61D8">
        <w:rPr>
          <w:rFonts w:ascii="Arial" w:hAnsi="Arial" w:cs="Arial"/>
          <w:color w:val="00B050"/>
        </w:rPr>
        <w:t xml:space="preserve">With these assumptions, </w:t>
      </w:r>
      <w:r w:rsidR="00D44621">
        <w:rPr>
          <w:rFonts w:ascii="Arial" w:hAnsi="Arial" w:cs="Arial"/>
          <w:color w:val="00B050"/>
        </w:rPr>
        <w:t>the interplay between the</w:t>
      </w:r>
      <w:r w:rsidR="009C61D8">
        <w:rPr>
          <w:rFonts w:ascii="Arial" w:hAnsi="Arial" w:cs="Arial"/>
          <w:color w:val="00B050"/>
        </w:rPr>
        <w:t xml:space="preserve"> chorus duration, scattering latitude, and scattering mode</w:t>
      </w:r>
      <w:r w:rsidR="00D44621">
        <w:rPr>
          <w:rFonts w:ascii="Arial" w:hAnsi="Arial" w:cs="Arial"/>
          <w:color w:val="00B050"/>
        </w:rPr>
        <w:t>s</w:t>
      </w:r>
      <w:r w:rsidR="009C61D8">
        <w:rPr>
          <w:rFonts w:ascii="Arial" w:hAnsi="Arial" w:cs="Arial"/>
          <w:color w:val="00B050"/>
        </w:rPr>
        <w:t xml:space="preserve"> are coupled in a non-trivial way. </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 xml:space="preserve">Thus, it is tempting to conclude that the microburst </w:t>
      </w:r>
      <w:r w:rsidRPr="00D44621">
        <w:rPr>
          <w:rFonts w:ascii="Arial" w:hAnsi="Arial" w:cs="Arial"/>
          <w:color w:val="00B050"/>
        </w:rPr>
        <w:lastRenderedPageBreak/>
        <w:t>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2C00D32B" w14:textId="77777777" w:rsidR="00C14A4E" w:rsidRDefault="00C14A4E">
      <w:pPr>
        <w:rPr>
          <w:rFonts w:ascii="Arial" w:hAnsi="Arial" w:cs="Arial"/>
          <w:color w:val="00B050"/>
        </w:rPr>
      </w:pPr>
    </w:p>
    <w:p w14:paraId="277278E8" w14:textId="6B8EB803" w:rsidR="00FC29E7" w:rsidRDefault="00FC29E7">
      <w:pPr>
        <w:rPr>
          <w:rFonts w:ascii="Arial" w:hAnsi="Arial" w:cs="Arial"/>
          <w:color w:val="00B050"/>
        </w:rPr>
      </w:pPr>
      <w:r>
        <w:rPr>
          <w:rFonts w:ascii="Arial" w:hAnsi="Arial" w:cs="Arial"/>
          <w:color w:val="00B050"/>
        </w:rPr>
        <w:t>Relevant c</w:t>
      </w:r>
      <w:r w:rsidR="00C14A4E">
        <w:rPr>
          <w:rFonts w:ascii="Arial" w:hAnsi="Arial" w:cs="Arial"/>
          <w:color w:val="00B050"/>
        </w:rPr>
        <w:t>itation</w:t>
      </w:r>
      <w:r>
        <w:rPr>
          <w:rFonts w:ascii="Arial" w:hAnsi="Arial" w:cs="Arial"/>
          <w:color w:val="00B050"/>
        </w:rPr>
        <w:t>s</w:t>
      </w:r>
      <w:r w:rsidR="00C14A4E">
        <w:rPr>
          <w:rFonts w:ascii="Arial" w:hAnsi="Arial" w:cs="Arial"/>
          <w:color w:val="00B050"/>
        </w:rPr>
        <w:t xml:space="preserve">: </w:t>
      </w:r>
    </w:p>
    <w:p w14:paraId="559796AA" w14:textId="45DDCC64" w:rsidR="00FC29E7" w:rsidRPr="00D44621" w:rsidRDefault="00C14A4E" w:rsidP="00D44621">
      <w:pPr>
        <w:pStyle w:val="ListParagraph"/>
        <w:numPr>
          <w:ilvl w:val="0"/>
          <w:numId w:val="1"/>
        </w:numPr>
        <w:rPr>
          <w:rFonts w:ascii="Arial" w:hAnsi="Arial" w:cs="Arial"/>
          <w:color w:val="00B050"/>
        </w:rPr>
      </w:pPr>
      <w:proofErr w:type="spellStart"/>
      <w:r w:rsidRPr="00FC29E7">
        <w:rPr>
          <w:rFonts w:ascii="Arial" w:hAnsi="Arial" w:cs="Arial"/>
          <w:color w:val="00B050"/>
        </w:rPr>
        <w:t>Lorentzen</w:t>
      </w:r>
      <w:proofErr w:type="spellEnd"/>
      <w:r w:rsidRPr="00FC29E7">
        <w:rPr>
          <w:rFonts w:ascii="Arial" w:hAnsi="Arial" w:cs="Arial"/>
          <w:color w:val="00B050"/>
        </w:rPr>
        <w:t xml:space="preserve">, K. R., Blake, J. B., </w:t>
      </w:r>
      <w:proofErr w:type="spellStart"/>
      <w:r w:rsidRPr="00FC29E7">
        <w:rPr>
          <w:rFonts w:ascii="Arial" w:hAnsi="Arial" w:cs="Arial"/>
          <w:color w:val="00B050"/>
        </w:rPr>
        <w:t>Inan</w:t>
      </w:r>
      <w:proofErr w:type="spellEnd"/>
      <w:r w:rsidRPr="00FC29E7">
        <w:rPr>
          <w:rFonts w:ascii="Arial" w:hAnsi="Arial" w:cs="Arial"/>
          <w:color w:val="00B050"/>
        </w:rPr>
        <w:t xml:space="preserve">, U. S., &amp; </w:t>
      </w:r>
      <w:proofErr w:type="spellStart"/>
      <w:r w:rsidRPr="00FC29E7">
        <w:rPr>
          <w:rFonts w:ascii="Arial" w:hAnsi="Arial" w:cs="Arial"/>
          <w:color w:val="00B050"/>
        </w:rPr>
        <w:t>Bortnik</w:t>
      </w:r>
      <w:proofErr w:type="spellEnd"/>
      <w:r w:rsidRPr="00FC29E7">
        <w:rPr>
          <w:rFonts w:ascii="Arial" w:hAnsi="Arial" w:cs="Arial"/>
          <w:color w:val="00B050"/>
        </w:rPr>
        <w:t>, J. (2001). Observations of relativistic electron microbursts in association with VLF chorus. Journal of Geophysical Research: Space Physics, 106(A4), 6017-6027.</w:t>
      </w:r>
    </w:p>
    <w:p w14:paraId="64A428C0" w14:textId="7E2009FE" w:rsidR="00FC29E7" w:rsidRDefault="00FC29E7" w:rsidP="00FC29E7">
      <w:pPr>
        <w:pStyle w:val="ListParagraph"/>
        <w:numPr>
          <w:ilvl w:val="0"/>
          <w:numId w:val="1"/>
        </w:numPr>
        <w:rPr>
          <w:rFonts w:ascii="Arial" w:hAnsi="Arial" w:cs="Arial"/>
          <w:color w:val="222222"/>
        </w:rPr>
      </w:pPr>
      <w:r w:rsidRPr="00FC29E7">
        <w:rPr>
          <w:rFonts w:ascii="Arial" w:hAnsi="Arial" w:cs="Arial"/>
          <w:color w:val="00B050"/>
        </w:rPr>
        <w:t>Millan, R. M., &amp; Thorne, R. M. (2007). Review of radiation belt relativistic electron losses. Journal of Atmospheric and Solar-Terrestrial Physics, 69(3), 362-377.</w:t>
      </w:r>
    </w:p>
    <w:p w14:paraId="65C7F3F7" w14:textId="77777777" w:rsidR="00FF54B0" w:rsidRDefault="00FC29E7" w:rsidP="00FC29E7">
      <w:pPr>
        <w:rPr>
          <w:rFonts w:ascii="Arial" w:hAnsi="Arial" w:cs="Arial"/>
          <w:color w:val="222222"/>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 xml:space="preserve">Recent simulation study by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p>
    <w:p w14:paraId="5C519B8D" w14:textId="77777777" w:rsidR="00A05531" w:rsidRDefault="00A05531" w:rsidP="00FC29E7">
      <w:pPr>
        <w:rPr>
          <w:rFonts w:ascii="Arial" w:hAnsi="Arial" w:cs="Arial"/>
          <w:color w:val="00B050"/>
        </w:rPr>
      </w:pPr>
    </w:p>
    <w:p w14:paraId="728017C2" w14:textId="7BBF6894" w:rsidR="00875BB2" w:rsidRPr="00FC29E7" w:rsidRDefault="00C075F6" w:rsidP="00FC29E7">
      <w:pPr>
        <w:rPr>
          <w:rFonts w:ascii="Arial" w:hAnsi="Arial" w:cs="Arial"/>
          <w:color w:val="222222"/>
          <w:szCs w:val="21"/>
        </w:rPr>
      </w:pPr>
      <w:r w:rsidRPr="00C075F6">
        <w:rPr>
          <w:rFonts w:ascii="Arial" w:hAnsi="Arial" w:cs="Arial"/>
          <w:color w:val="00B050"/>
        </w:rPr>
        <w:t xml:space="preserve">We agree: </w:t>
      </w:r>
      <w:r w:rsidRPr="00C075F6">
        <w:rPr>
          <w:rFonts w:ascii="Arial" w:hAnsi="Arial" w:cs="Arial"/>
          <w:color w:val="00B050"/>
        </w:rPr>
        <w:t>Miyoshi et al.</w:t>
      </w:r>
      <w:r w:rsidRPr="00C075F6">
        <w:rPr>
          <w:rFonts w:ascii="Arial" w:hAnsi="Arial" w:cs="Arial"/>
          <w:color w:val="00B050"/>
        </w:rPr>
        <w:t xml:space="preserve"> 2</w:t>
      </w:r>
      <w:r w:rsidRPr="00C075F6">
        <w:rPr>
          <w:rFonts w:ascii="Arial" w:hAnsi="Arial" w:cs="Arial"/>
          <w:color w:val="00B050"/>
        </w:rPr>
        <w:t xml:space="preserve">020 </w:t>
      </w:r>
      <w:r w:rsidRPr="00C075F6">
        <w:rPr>
          <w:rFonts w:ascii="Arial" w:hAnsi="Arial" w:cs="Arial"/>
          <w:color w:val="00B050"/>
        </w:rPr>
        <w:t xml:space="preserve">and Chen et al., 2020 predict different microburst duration as a function of energy. We observe this by eye with the FIREBIRD-II data, but we left this out due to </w:t>
      </w:r>
      <w:r w:rsidR="001640B5">
        <w:rPr>
          <w:rFonts w:ascii="Arial" w:hAnsi="Arial" w:cs="Arial"/>
          <w:color w:val="00B050"/>
        </w:rPr>
        <w:t xml:space="preserve">the GRL </w:t>
      </w:r>
      <w:r w:rsidRPr="00C075F6">
        <w:rPr>
          <w:rFonts w:ascii="Arial" w:hAnsi="Arial" w:cs="Arial"/>
          <w:color w:val="00B050"/>
        </w:rPr>
        <w:t xml:space="preserve">text </w:t>
      </w:r>
      <w:r w:rsidR="001640B5">
        <w:rPr>
          <w:rFonts w:ascii="Arial" w:hAnsi="Arial" w:cs="Arial"/>
          <w:color w:val="00B050"/>
        </w:rPr>
        <w:t xml:space="preserve">limit </w:t>
      </w:r>
      <w:r w:rsidRPr="00C075F6">
        <w:rPr>
          <w:rFonts w:ascii="Arial" w:hAnsi="Arial" w:cs="Arial"/>
          <w:color w:val="00B050"/>
        </w:rPr>
        <w:t xml:space="preserve">and </w:t>
      </w:r>
      <w:r w:rsidR="001640B5">
        <w:rPr>
          <w:rFonts w:ascii="Arial" w:hAnsi="Arial" w:cs="Arial"/>
          <w:color w:val="00B050"/>
        </w:rPr>
        <w:t xml:space="preserve">our qualitative </w:t>
      </w:r>
      <w:r w:rsidRPr="00C075F6">
        <w:rPr>
          <w:rFonts w:ascii="Arial" w:hAnsi="Arial" w:cs="Arial"/>
          <w:color w:val="00B050"/>
        </w:rPr>
        <w:t>observations</w:t>
      </w:r>
      <w:r w:rsidR="001640B5">
        <w:rPr>
          <w:rFonts w:ascii="Arial" w:hAnsi="Arial" w:cs="Arial"/>
          <w:color w:val="00B050"/>
        </w:rPr>
        <w:t xml:space="preserve">. We will carefully study this </w:t>
      </w:r>
      <w:r w:rsidR="000D3F6D">
        <w:rPr>
          <w:rFonts w:ascii="Arial" w:hAnsi="Arial" w:cs="Arial"/>
          <w:color w:val="00B050"/>
        </w:rPr>
        <w:t>soon</w:t>
      </w:r>
      <w:r w:rsidR="001640B5">
        <w:rPr>
          <w:rFonts w:ascii="Arial" w:hAnsi="Arial" w:cs="Arial"/>
          <w:color w:val="00B050"/>
        </w:rPr>
        <w:t xml:space="preserve">. </w:t>
      </w:r>
      <w:r w:rsidR="000D3F6D">
        <w:rPr>
          <w:rFonts w:ascii="Arial" w:hAnsi="Arial" w:cs="Arial"/>
          <w:color w:val="00B050"/>
        </w:rPr>
        <w:t>Since HILT measures electrons with multiple energies, we added “</w:t>
      </w:r>
      <w:r w:rsidR="000D3F6D" w:rsidRPr="000D3F6D">
        <w:rPr>
          <w:rFonts w:ascii="Arial" w:hAnsi="Arial" w:cs="Arial"/>
          <w:color w:val="00B050"/>
        </w:rPr>
        <w:t>Care must be taken when comparing our results to theory: HILT measured multi-energy microburst electrons above 1 MeV, and the microburst duration at each energy can have different drivers</w:t>
      </w:r>
      <w:r w:rsidR="000D3F6D">
        <w:rPr>
          <w:rFonts w:ascii="Arial" w:hAnsi="Arial" w:cs="Arial"/>
          <w:color w:val="00B050"/>
        </w:rPr>
        <w:t>” to this paragraph.</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And Miyoshi et al.[2020]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rsidRPr="00FC29E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0D3F6D"/>
    <w:rsid w:val="0010441B"/>
    <w:rsid w:val="00136A77"/>
    <w:rsid w:val="001640B5"/>
    <w:rsid w:val="001822D6"/>
    <w:rsid w:val="001C3350"/>
    <w:rsid w:val="00245637"/>
    <w:rsid w:val="00267A0C"/>
    <w:rsid w:val="002A2899"/>
    <w:rsid w:val="002A778A"/>
    <w:rsid w:val="002B2BE1"/>
    <w:rsid w:val="002D456B"/>
    <w:rsid w:val="00303408"/>
    <w:rsid w:val="00321D07"/>
    <w:rsid w:val="0033446B"/>
    <w:rsid w:val="00354627"/>
    <w:rsid w:val="0035575A"/>
    <w:rsid w:val="003D4ECA"/>
    <w:rsid w:val="003F2F55"/>
    <w:rsid w:val="00454A1E"/>
    <w:rsid w:val="00461746"/>
    <w:rsid w:val="00476B6E"/>
    <w:rsid w:val="00535164"/>
    <w:rsid w:val="005476D5"/>
    <w:rsid w:val="005E27DC"/>
    <w:rsid w:val="006A103A"/>
    <w:rsid w:val="007B3D03"/>
    <w:rsid w:val="00875BB2"/>
    <w:rsid w:val="008C3ECD"/>
    <w:rsid w:val="008E5B09"/>
    <w:rsid w:val="008F712B"/>
    <w:rsid w:val="00902BD7"/>
    <w:rsid w:val="00910B45"/>
    <w:rsid w:val="0093408C"/>
    <w:rsid w:val="00956BD9"/>
    <w:rsid w:val="009C61D8"/>
    <w:rsid w:val="009F4515"/>
    <w:rsid w:val="009F4F3B"/>
    <w:rsid w:val="00A05531"/>
    <w:rsid w:val="00A25FAB"/>
    <w:rsid w:val="00A65C70"/>
    <w:rsid w:val="00A71639"/>
    <w:rsid w:val="00B3348F"/>
    <w:rsid w:val="00BD3ED4"/>
    <w:rsid w:val="00C075F6"/>
    <w:rsid w:val="00C14A4E"/>
    <w:rsid w:val="00C52C5A"/>
    <w:rsid w:val="00C52C8D"/>
    <w:rsid w:val="00D44621"/>
    <w:rsid w:val="00D6454D"/>
    <w:rsid w:val="00DD1036"/>
    <w:rsid w:val="00E0632A"/>
    <w:rsid w:val="00E30294"/>
    <w:rsid w:val="00E56019"/>
    <w:rsid w:val="00E84C82"/>
    <w:rsid w:val="00EA6361"/>
    <w:rsid w:val="00EA64B3"/>
    <w:rsid w:val="00EB505F"/>
    <w:rsid w:val="00ED0938"/>
    <w:rsid w:val="00EE0F42"/>
    <w:rsid w:val="00F01E08"/>
    <w:rsid w:val="00FC29E7"/>
    <w:rsid w:val="00FE6BFD"/>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230503941">
      <w:bodyDiv w:val="1"/>
      <w:marLeft w:val="0"/>
      <w:marRight w:val="0"/>
      <w:marTop w:val="0"/>
      <w:marBottom w:val="0"/>
      <w:divBdr>
        <w:top w:val="none" w:sz="0" w:space="0" w:color="auto"/>
        <w:left w:val="none" w:sz="0" w:space="0" w:color="auto"/>
        <w:bottom w:val="none" w:sz="0" w:space="0" w:color="auto"/>
        <w:right w:val="none" w:sz="0" w:space="0" w:color="auto"/>
      </w:divBdr>
      <w:divsChild>
        <w:div w:id="2010330394">
          <w:marLeft w:val="0"/>
          <w:marRight w:val="0"/>
          <w:marTop w:val="0"/>
          <w:marBottom w:val="0"/>
          <w:divBdr>
            <w:top w:val="none" w:sz="0" w:space="0" w:color="auto"/>
            <w:left w:val="none" w:sz="0" w:space="0" w:color="auto"/>
            <w:bottom w:val="none" w:sz="0" w:space="0" w:color="auto"/>
            <w:right w:val="none" w:sz="0" w:space="0" w:color="auto"/>
          </w:divBdr>
          <w:divsChild>
            <w:div w:id="96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200">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649673883">
      <w:bodyDiv w:val="1"/>
      <w:marLeft w:val="0"/>
      <w:marRight w:val="0"/>
      <w:marTop w:val="0"/>
      <w:marBottom w:val="0"/>
      <w:divBdr>
        <w:top w:val="none" w:sz="0" w:space="0" w:color="auto"/>
        <w:left w:val="none" w:sz="0" w:space="0" w:color="auto"/>
        <w:bottom w:val="none" w:sz="0" w:space="0" w:color="auto"/>
        <w:right w:val="none" w:sz="0" w:space="0" w:color="auto"/>
      </w:divBdr>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ginal_distribution"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58</cp:revision>
  <dcterms:created xsi:type="dcterms:W3CDTF">2021-06-03T14:49:00Z</dcterms:created>
  <dcterms:modified xsi:type="dcterms:W3CDTF">2021-06-10T00:15:00Z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