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723EB4D3" w14:textId="22702750" w:rsidR="00875BB2" w:rsidRPr="00A65C7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77777777" w:rsidR="00875BB2" w:rsidRPr="00A65C70" w:rsidRDefault="00F01E08">
      <w:pPr>
        <w:rPr>
          <w:rFonts w:ascii="Arial" w:hAnsi="Arial" w:cs="Arial"/>
        </w:rPr>
      </w:pPr>
      <w:r w:rsidRPr="00A65C70">
        <w:rPr>
          <w:rFonts w:ascii="Arial" w:hAnsi="Arial" w:cs="Arial"/>
        </w:rPr>
        <w:t>Mike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 xml:space="preserve">we removed the two </w:t>
      </w:r>
      <w:r w:rsidR="002A778A" w:rsidRPr="00A65C70">
        <w:rPr>
          <w:rFonts w:ascii="Arial" w:hAnsi="Arial" w:cs="Arial"/>
          <w:color w:val="00B050"/>
        </w:rPr>
        <w:lastRenderedPageBreak/>
        <w:t>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A1BFC14"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4 authors</w:t>
      </w:r>
      <w:r w:rsidR="009F4515" w:rsidRPr="00A65C70">
        <w:rPr>
          <w:rFonts w:ascii="Arial" w:hAnsi="Arial" w:cs="Arial"/>
          <w:color w:val="00B050"/>
        </w:rPr>
        <w:t xml:space="preserve"> of that study</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719F395D" w:rsidR="008C3ECD" w:rsidRDefault="00A65C70">
      <w:pPr>
        <w:rPr>
          <w:rFonts w:ascii="Arial" w:hAnsi="Arial" w:cs="Arial"/>
          <w:color w:val="FF0000"/>
        </w:rPr>
      </w:pPr>
      <w:r w:rsidRPr="00A65C70">
        <w:rPr>
          <w:rFonts w:ascii="Arial" w:hAnsi="Arial" w:cs="Arial"/>
          <w:color w:val="00B050"/>
        </w:rPr>
        <w:lastRenderedPageBreak/>
        <w:t>We agree that the recent use of the word marginalize has a strong negative meaning, however it is a common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5"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572CE255" w14:textId="0222435C" w:rsidR="00875BB2" w:rsidRPr="00A65C70" w:rsidRDefault="00F01E08">
      <w:pPr>
        <w:rPr>
          <w:rFonts w:ascii="Arial" w:hAnsi="Arial" w:cs="Arial"/>
          <w:color w:val="FF0000"/>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rsidRPr="00A65C70">
        <w:rPr>
          <w:rFonts w:ascii="Arial" w:hAnsi="Arial" w:cs="Arial"/>
        </w:rPr>
        <w:br/>
      </w:r>
      <w:r w:rsidRPr="00A65C70">
        <w:rPr>
          <w:rFonts w:ascii="Arial" w:hAnsi="Arial" w:cs="Arial"/>
        </w:rPr>
        <w:br/>
      </w:r>
      <w:r w:rsidRPr="00A65C70">
        <w:rPr>
          <w:rFonts w:ascii="Arial" w:hAnsi="Arial" w:cs="Arial"/>
          <w:color w:val="222222"/>
        </w:rPr>
        <w:t>L214: change wording: "it longer overlaps with just the microburst"</w:t>
      </w:r>
      <w:r w:rsidRPr="00A65C70">
        <w:rPr>
          <w:rFonts w:ascii="Arial" w:hAnsi="Arial" w:cs="Arial"/>
        </w:rPr>
        <w:br/>
      </w:r>
      <w:r w:rsidRPr="00A65C70">
        <w:rPr>
          <w:rFonts w:ascii="Arial" w:hAnsi="Arial" w:cs="Arial"/>
        </w:rPr>
        <w:br/>
      </w:r>
      <w:r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Pr="00A65C70">
        <w:rPr>
          <w:rFonts w:ascii="Arial" w:hAnsi="Arial" w:cs="Arial"/>
        </w:rPr>
        <w:br/>
      </w:r>
      <w:r w:rsidRPr="00A65C70">
        <w:rPr>
          <w:rFonts w:ascii="Arial" w:hAnsi="Arial" w:cs="Arial"/>
        </w:rPr>
        <w:br/>
      </w:r>
      <w:r w:rsidRPr="00A65C70">
        <w:rPr>
          <w:rFonts w:ascii="Arial" w:hAnsi="Arial" w:cs="Arial"/>
          <w:color w:val="222222"/>
        </w:rPr>
        <w:t>L227: Should reference Fig4b when discussing the MLT trend</w:t>
      </w:r>
      <w:r w:rsidRPr="00A65C70">
        <w:rPr>
          <w:rFonts w:ascii="Arial" w:hAnsi="Arial" w:cs="Arial"/>
        </w:rPr>
        <w:br/>
      </w:r>
      <w:r w:rsidRPr="00A65C70">
        <w:rPr>
          <w:rFonts w:ascii="Arial" w:hAnsi="Arial" w:cs="Arial"/>
        </w:rPr>
        <w:br/>
      </w:r>
      <w:r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Pr="00A65C70">
        <w:rPr>
          <w:rFonts w:ascii="Arial" w:hAnsi="Arial" w:cs="Arial"/>
        </w:rPr>
        <w:br/>
      </w:r>
      <w:r w:rsidRPr="00A65C70">
        <w:rPr>
          <w:rFonts w:ascii="Arial" w:hAnsi="Arial" w:cs="Arial"/>
        </w:rPr>
        <w:br/>
      </w:r>
      <w:r w:rsidRPr="00A65C70">
        <w:rPr>
          <w:rFonts w:ascii="Arial" w:hAnsi="Arial" w:cs="Arial"/>
          <w:color w:val="222222"/>
        </w:rPr>
        <w:t>L239: fix "Aa s"</w:t>
      </w:r>
      <w:r w:rsidRPr="00A65C70">
        <w:rPr>
          <w:rFonts w:ascii="Arial" w:hAnsi="Arial" w:cs="Arial"/>
        </w:rPr>
        <w:br/>
      </w:r>
      <w:r w:rsidRPr="00A65C70">
        <w:rPr>
          <w:rFonts w:ascii="Arial" w:hAnsi="Arial" w:cs="Arial"/>
        </w:rPr>
        <w:br/>
      </w:r>
      <w:r w:rsidRPr="00A65C70">
        <w:rPr>
          <w:rFonts w:ascii="Arial" w:hAnsi="Arial" w:cs="Arial"/>
          <w:color w:val="222222"/>
        </w:rPr>
        <w:t>L243: Any guesses as to the duration discrepancy b/t chorus and microbursts?</w:t>
      </w:r>
      <w:r w:rsidRPr="00A65C70">
        <w:rPr>
          <w:rFonts w:ascii="Arial" w:hAnsi="Arial" w:cs="Arial"/>
        </w:rPr>
        <w:br/>
      </w:r>
      <w:r w:rsidRPr="00A65C70">
        <w:rPr>
          <w:rFonts w:ascii="Arial" w:hAnsi="Arial" w:cs="Arial"/>
        </w:rPr>
        <w:br/>
      </w:r>
      <w:r w:rsidRPr="00A65C70">
        <w:rPr>
          <w:rFonts w:ascii="Arial" w:hAnsi="Arial" w:cs="Arial"/>
          <w:color w:val="222222"/>
        </w:rPr>
        <w:t xml:space="preserve">L243: Please comment on this. By scale factor do you mean 250ms/95ms ~ 3 for AE&gt;300nT and 500ms/130ms &gt; 3 for AE&lt;100 </w:t>
      </w:r>
      <w:proofErr w:type="spellStart"/>
      <w:r w:rsidRPr="00A65C70">
        <w:rPr>
          <w:rFonts w:ascii="Arial" w:hAnsi="Arial" w:cs="Arial"/>
          <w:color w:val="222222"/>
        </w:rPr>
        <w:t>nT</w:t>
      </w:r>
      <w:proofErr w:type="spellEnd"/>
      <w:r w:rsidRPr="00A65C70">
        <w:rPr>
          <w:rFonts w:ascii="Arial" w:hAnsi="Arial" w:cs="Arial"/>
          <w:color w:val="222222"/>
        </w:rPr>
        <w:t>?</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L248: Be clear that you are talking about the upper value of the absolute value of the magnetic latitude</w:t>
      </w:r>
      <w:r w:rsidRPr="00A65C70">
        <w:rPr>
          <w:rFonts w:ascii="Arial" w:hAnsi="Arial" w:cs="Arial"/>
        </w:rPr>
        <w:br/>
      </w:r>
      <w:r w:rsidRPr="00A65C70">
        <w:rPr>
          <w:rFonts w:ascii="Arial" w:hAnsi="Arial" w:cs="Arial"/>
        </w:rPr>
        <w:br/>
      </w:r>
      <w:r w:rsidRPr="00A65C70">
        <w:rPr>
          <w:rFonts w:ascii="Arial" w:hAnsi="Arial" w:cs="Arial"/>
          <w:color w:val="222222"/>
        </w:rPr>
        <w:t>L250: Perhaps mention that the Saito results are simulations</w:t>
      </w:r>
      <w:r w:rsidRPr="00A65C70">
        <w:rPr>
          <w:rFonts w:ascii="Arial" w:hAnsi="Arial" w:cs="Arial"/>
        </w:rPr>
        <w:br/>
      </w:r>
      <w:r w:rsidRPr="00A65C70">
        <w:rPr>
          <w:rFonts w:ascii="Arial" w:hAnsi="Arial" w:cs="Arial"/>
        </w:rPr>
        <w:br/>
      </w:r>
      <w:r w:rsidRPr="00A65C70">
        <w:rPr>
          <w:rFonts w:ascii="Arial" w:hAnsi="Arial" w:cs="Arial"/>
          <w:color w:val="222222"/>
        </w:rPr>
        <w:t>L251: probably should explain what you mean by "model configurations"</w:t>
      </w:r>
      <w:r w:rsidRPr="00A65C70">
        <w:rPr>
          <w:rFonts w:ascii="Arial" w:hAnsi="Arial" w:cs="Arial"/>
        </w:rPr>
        <w:br/>
      </w:r>
      <w:r w:rsidRPr="00A65C70">
        <w:rPr>
          <w:rFonts w:ascii="Arial" w:hAnsi="Arial" w:cs="Arial"/>
        </w:rPr>
        <w:br/>
      </w:r>
      <w:r w:rsidRPr="00A65C70">
        <w:rPr>
          <w:rFonts w:ascii="Arial" w:hAnsi="Arial" w:cs="Arial"/>
          <w:color w:val="222222"/>
        </w:rPr>
        <w:t>L257: absolute value of latitude</w:t>
      </w:r>
      <w:r w:rsidRPr="00A65C70">
        <w:rPr>
          <w:rFonts w:ascii="Arial" w:hAnsi="Arial" w:cs="Arial"/>
        </w:rPr>
        <w:br/>
      </w:r>
      <w:r w:rsidRPr="00A65C70">
        <w:rPr>
          <w:rFonts w:ascii="Arial" w:hAnsi="Arial" w:cs="Arial"/>
        </w:rPr>
        <w:br/>
      </w:r>
      <w:r w:rsidRPr="00A65C70">
        <w:rPr>
          <w:rFonts w:ascii="Arial" w:hAnsi="Arial" w:cs="Arial"/>
          <w:color w:val="222222"/>
        </w:rPr>
        <w:t>L271: duration</w:t>
      </w:r>
      <w:r w:rsidRPr="00A65C70">
        <w:rPr>
          <w:rFonts w:ascii="Arial" w:hAnsi="Arial" w:cs="Arial"/>
        </w:rPr>
        <w:br/>
      </w:r>
      <w:r w:rsidRPr="00A65C70">
        <w:rPr>
          <w:rFonts w:ascii="Arial" w:hAnsi="Arial" w:cs="Arial"/>
        </w:rPr>
        <w:br/>
      </w:r>
      <w:r w:rsidRPr="00A65C70">
        <w:rPr>
          <w:rFonts w:ascii="Arial" w:hAnsi="Arial" w:cs="Arial"/>
          <w:color w:val="222222"/>
        </w:rPr>
        <w:t>L272: Be clear that previous work found that chorus durations double in MLT, not this paper.</w:t>
      </w:r>
      <w:r w:rsidRPr="00A65C70">
        <w:rPr>
          <w:rFonts w:ascii="Arial" w:hAnsi="Arial" w:cs="Arial"/>
        </w:rPr>
        <w:br/>
      </w:r>
      <w:r w:rsidRPr="00A65C70">
        <w:rPr>
          <w:rFonts w:ascii="Arial" w:hAnsi="Arial" w:cs="Arial"/>
        </w:rPr>
        <w:br/>
      </w:r>
      <w:r w:rsidRPr="00A65C70">
        <w:rPr>
          <w:rFonts w:ascii="Arial" w:hAnsi="Arial" w:cs="Arial"/>
          <w:color w:val="222222"/>
        </w:rPr>
        <w:t>Figure 1: "lines" should probably be "curves"</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728017C2" w14:textId="77777777" w:rsidR="00875BB2" w:rsidRPr="00A65C70" w:rsidRDefault="00F01E08">
      <w:pPr>
        <w:rPr>
          <w:rFonts w:ascii="Arial" w:hAnsi="Arial" w:cs="Arial"/>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Paragraph of Line 251</w:t>
      </w:r>
      <w:r w:rsidRPr="00A65C70">
        <w:rPr>
          <w:rFonts w:ascii="Arial" w:hAnsi="Arial" w:cs="Arial"/>
        </w:rPr>
        <w:br/>
      </w:r>
      <w:r w:rsidRPr="00A65C70">
        <w:rPr>
          <w:rFonts w:ascii="Arial" w:hAnsi="Arial" w:cs="Arial"/>
          <w:color w:val="222222"/>
        </w:rPr>
        <w:t xml:space="preserve">Recent simulation study by Miyoshi </w:t>
      </w:r>
      <w:proofErr w:type="gramStart"/>
      <w:r w:rsidRPr="00A65C70">
        <w:rPr>
          <w:rFonts w:ascii="Arial" w:hAnsi="Arial" w:cs="Arial"/>
          <w:color w:val="222222"/>
        </w:rPr>
        <w:t>et al.[</w:t>
      </w:r>
      <w:proofErr w:type="gramEnd"/>
      <w:r w:rsidRPr="00A65C70">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rsidRPr="00A65C70">
        <w:rPr>
          <w:rFonts w:ascii="Arial" w:hAnsi="Arial" w:cs="Arial"/>
        </w:rPr>
        <w:br/>
      </w:r>
      <w:r w:rsidRPr="00A65C70">
        <w:rPr>
          <w:rFonts w:ascii="Arial" w:hAnsi="Arial" w:cs="Arial"/>
        </w:rPr>
        <w:br/>
      </w:r>
      <w:r w:rsidRPr="00A65C70">
        <w:rPr>
          <w:rFonts w:ascii="Arial" w:hAnsi="Arial" w:cs="Arial"/>
          <w:color w:val="222222"/>
        </w:rPr>
        <w:t xml:space="preserve">And Miyoshi </w:t>
      </w:r>
      <w:proofErr w:type="gramStart"/>
      <w:r w:rsidRPr="00A65C70">
        <w:rPr>
          <w:rFonts w:ascii="Arial" w:hAnsi="Arial" w:cs="Arial"/>
          <w:color w:val="222222"/>
        </w:rPr>
        <w:t>et al.[</w:t>
      </w:r>
      <w:proofErr w:type="gramEnd"/>
      <w:r w:rsidRPr="00A65C70">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rsidRPr="00A65C7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10441B"/>
    <w:rsid w:val="00136A77"/>
    <w:rsid w:val="001C3350"/>
    <w:rsid w:val="00245637"/>
    <w:rsid w:val="00267A0C"/>
    <w:rsid w:val="002A2899"/>
    <w:rsid w:val="002A778A"/>
    <w:rsid w:val="002D456B"/>
    <w:rsid w:val="00303408"/>
    <w:rsid w:val="00354627"/>
    <w:rsid w:val="0035575A"/>
    <w:rsid w:val="003D4ECA"/>
    <w:rsid w:val="003F2F55"/>
    <w:rsid w:val="00454A1E"/>
    <w:rsid w:val="00461746"/>
    <w:rsid w:val="00476B6E"/>
    <w:rsid w:val="006A103A"/>
    <w:rsid w:val="007B3D03"/>
    <w:rsid w:val="00875BB2"/>
    <w:rsid w:val="008C3ECD"/>
    <w:rsid w:val="008E5B09"/>
    <w:rsid w:val="008F712B"/>
    <w:rsid w:val="00902BD7"/>
    <w:rsid w:val="00910B45"/>
    <w:rsid w:val="0093408C"/>
    <w:rsid w:val="00956BD9"/>
    <w:rsid w:val="009F4515"/>
    <w:rsid w:val="00A25FAB"/>
    <w:rsid w:val="00A65C70"/>
    <w:rsid w:val="00A71639"/>
    <w:rsid w:val="00C52C5A"/>
    <w:rsid w:val="00DD1036"/>
    <w:rsid w:val="00E30294"/>
    <w:rsid w:val="00E56019"/>
    <w:rsid w:val="00EB505F"/>
    <w:rsid w:val="00ED0938"/>
    <w:rsid w:val="00EE0F42"/>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Marginal_distribution"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39</cp:revision>
  <dcterms:created xsi:type="dcterms:W3CDTF">2021-06-03T14:49:00Z</dcterms:created>
  <dcterms:modified xsi:type="dcterms:W3CDTF">2021-06-07T23:43:00Z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