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Paper Title: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Facial Expression Recognition Using Dynamic Local Ternary Patterns With Kernel Extreme Learning Machine Classifier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Paper Author:</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SUMEET SAURAV , RAVI SAINI, (Member, IEEE), AND SANJAY SINGH, (Senior Member, IEEE)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Paper Link:</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https://ieeexplore.ieee.org/stamp/stamp.jsp?tp=&amp;arnumber=9523559</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Multinational License Plate Recognition Using Generalized Character Sequence Detection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proposes a novel facial expression recognition (FER) method that utilizes Dynamic Local Ternary Patterns (DLTPs) and the Kernel Extreme Learning Machine (K-ELM) classifier. DLTPs are a texture descriptor that captures the local appearance changes in facial images, while K-ELM is a fast and efficient classification algorithm. The proposed method was evaluated on four public FER datasets and achieved state-of-the-art results.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titled "Multinational License Plate Recognition Using Generalized Character Sequence Detection" aims to address the growing need for an efficient and versatile license plate recognition (LPR) system capable of handling diverse character sequences found in license plates across different countries. The motivation behind this research is to develop a method that goes beyond region-specific approaches and provides a generalized solution for multinational LPR. The hypothesis is that a character sequence detection approach can be adapted and optimized to recognize license plates from various countries, contributing to the development of a more universally applicable LPR system.</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contributions of the paper include: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development of a multinational LPR system based on generalized character sequence detection.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Exploration and adaptation of existing LPR techniques to accommodate diverse character sets.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Evaluation of the proposed method on datasets containing license plates from multiple countries.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the paper involves: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Implementation of a character sequence detection algorithm tailored to handle diverse license plate formats.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Adaptation of existing LPR techniques to ensure compatibility with different character sets.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Training and testing the proposed method on a dataset containing license plates from various countries.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concludes by summarizing the key findings and contributions. It highlights the effectiveness of the proposed multinational LPR system in recognizing license plates from different countries. The conclusion also discusses the potential applications of the developed methodology in real-world scenarios, emphasizing the significance of a versatile LPR system for global use.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Limitation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the paper is the lack of detailed analysis regarding the performance of the proposed method on specific subsets of license plates. Different countries may have unique challenges in terms of character variations, fonts, and plate designs. The paper would benefit from a more granular examination of how well the system performs on individual countries or regions.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Limitation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the absence of a comparative analysis with existing state-of-the-art LPR systems. While the paper successfully demonstrates the effectiveness of the proposed method, a thorough comparison with other multinational LPR approaches would provide a clearer understanding of its strengths and weaknesses in relation to existing solutions.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Synthesis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synthesis, the paper makes a significant contribution by introducing a multinational LPR system based on generalized character sequence detection. The proposed methodology shows promise in addressing the challenges posed by diverse license plate formats. However, the paper could be strengthened by addressing the identified limitations, including a more nuanced evaluation on a per-country basis and a comprehensive comparison with existing multinational LPR systems. Despite these limitations, the paper lays the foundation for future research in the development of more universally applicable license plate recognition solutions.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stamp/stamp.jsp?tp=&amp;arnumber=9523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