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C36" w:rsidRDefault="00E76C36" w:rsidP="00E76C36">
      <w:pPr>
        <w:spacing w:line="360" w:lineRule="auto"/>
        <w:jc w:val="center"/>
        <w:rPr>
          <w:rFonts w:ascii="Cambria" w:hAnsi="Cambria"/>
          <w:color w:val="2F5496" w:themeColor="accent1" w:themeShade="BF"/>
          <w:sz w:val="44"/>
          <w:szCs w:val="44"/>
        </w:rPr>
      </w:pPr>
    </w:p>
    <w:p w:rsidR="00E76C36" w:rsidRDefault="00E76C36" w:rsidP="00E76C36">
      <w:pPr>
        <w:spacing w:line="360" w:lineRule="auto"/>
        <w:jc w:val="center"/>
        <w:rPr>
          <w:rFonts w:ascii="Cambria" w:hAnsi="Cambria"/>
          <w:color w:val="2F5496" w:themeColor="accent1" w:themeShade="BF"/>
          <w:sz w:val="44"/>
          <w:szCs w:val="44"/>
        </w:rPr>
      </w:pPr>
    </w:p>
    <w:p w:rsidR="00E76C36" w:rsidRDefault="00E76C36" w:rsidP="00E76C36">
      <w:pPr>
        <w:spacing w:line="360" w:lineRule="auto"/>
        <w:jc w:val="center"/>
        <w:rPr>
          <w:rFonts w:ascii="Cambria" w:hAnsi="Cambria"/>
          <w:color w:val="2F5496" w:themeColor="accent1" w:themeShade="BF"/>
          <w:sz w:val="44"/>
          <w:szCs w:val="44"/>
        </w:rPr>
      </w:pPr>
    </w:p>
    <w:p w:rsidR="00E76C36" w:rsidRDefault="00E76C36" w:rsidP="00E76C36">
      <w:pPr>
        <w:spacing w:line="360" w:lineRule="auto"/>
        <w:jc w:val="center"/>
        <w:rPr>
          <w:rFonts w:ascii="Cambria" w:hAnsi="Cambria"/>
          <w:color w:val="2F5496" w:themeColor="accent1" w:themeShade="BF"/>
          <w:sz w:val="44"/>
          <w:szCs w:val="44"/>
        </w:rPr>
      </w:pPr>
    </w:p>
    <w:p w:rsidR="00E76C36" w:rsidRPr="007E2EC4" w:rsidRDefault="00E76C36" w:rsidP="00E76C36">
      <w:pPr>
        <w:spacing w:line="360" w:lineRule="auto"/>
        <w:jc w:val="center"/>
        <w:rPr>
          <w:rFonts w:ascii="Cambria" w:hAnsi="Cambria"/>
          <w:color w:val="2F5496" w:themeColor="accent1" w:themeShade="BF"/>
          <w:sz w:val="44"/>
          <w:szCs w:val="44"/>
        </w:rPr>
      </w:pPr>
      <w:r>
        <w:rPr>
          <w:rFonts w:ascii="Cambria" w:hAnsi="Cambria"/>
          <w:color w:val="2F5496" w:themeColor="accent1" w:themeShade="BF"/>
          <w:sz w:val="44"/>
          <w:szCs w:val="44"/>
        </w:rPr>
        <w:t>Stock Market Portfolio Analysis</w:t>
      </w:r>
    </w:p>
    <w:p w:rsidR="00E76C36" w:rsidRDefault="00E76C36" w:rsidP="00E76C36">
      <w:pPr>
        <w:spacing w:line="360" w:lineRule="auto"/>
        <w:jc w:val="center"/>
        <w:rPr>
          <w:rFonts w:ascii="Cambria" w:hAnsi="Cambria"/>
          <w:sz w:val="36"/>
          <w:szCs w:val="36"/>
        </w:rPr>
      </w:pPr>
    </w:p>
    <w:p w:rsidR="00E76C36" w:rsidRDefault="00E76C36" w:rsidP="00E76C36">
      <w:pPr>
        <w:spacing w:line="360" w:lineRule="auto"/>
        <w:jc w:val="center"/>
        <w:rPr>
          <w:rFonts w:ascii="Cambria" w:hAnsi="Cambria"/>
          <w:sz w:val="44"/>
          <w:szCs w:val="44"/>
        </w:rPr>
      </w:pPr>
    </w:p>
    <w:p w:rsidR="00E76C36" w:rsidRPr="007E2EC4" w:rsidRDefault="00E76C36" w:rsidP="00E76C36">
      <w:pPr>
        <w:spacing w:line="360" w:lineRule="auto"/>
        <w:jc w:val="center"/>
        <w:rPr>
          <w:rFonts w:ascii="Cambria" w:hAnsi="Cambria"/>
          <w:sz w:val="44"/>
          <w:szCs w:val="44"/>
        </w:rPr>
      </w:pPr>
      <w:r w:rsidRPr="007E2EC4">
        <w:rPr>
          <w:rFonts w:ascii="Cambria" w:hAnsi="Cambria"/>
          <w:sz w:val="44"/>
          <w:szCs w:val="44"/>
        </w:rPr>
        <w:t xml:space="preserve">Group </w:t>
      </w:r>
      <w:r>
        <w:rPr>
          <w:rFonts w:ascii="Cambria" w:hAnsi="Cambria"/>
          <w:sz w:val="44"/>
          <w:szCs w:val="44"/>
        </w:rPr>
        <w:t>5</w:t>
      </w:r>
    </w:p>
    <w:p w:rsidR="00E76C36" w:rsidRPr="007E2EC4" w:rsidRDefault="00E76C36" w:rsidP="00E76C36">
      <w:pPr>
        <w:spacing w:line="360" w:lineRule="auto"/>
        <w:jc w:val="center"/>
        <w:rPr>
          <w:rFonts w:ascii="Cambria" w:hAnsi="Cambria"/>
          <w:sz w:val="28"/>
          <w:szCs w:val="28"/>
        </w:rPr>
      </w:pPr>
      <w:r w:rsidRPr="007E2EC4">
        <w:rPr>
          <w:rFonts w:ascii="Cambria" w:hAnsi="Cambria"/>
          <w:sz w:val="28"/>
          <w:szCs w:val="28"/>
        </w:rPr>
        <w:t>Mohamed Sihly</w:t>
      </w:r>
    </w:p>
    <w:p w:rsidR="00E76C36" w:rsidRDefault="00E76C36" w:rsidP="00E76C36">
      <w:pPr>
        <w:spacing w:line="360" w:lineRule="auto"/>
        <w:jc w:val="center"/>
        <w:rPr>
          <w:rFonts w:ascii="Cambria" w:hAnsi="Cambria"/>
        </w:rPr>
      </w:pPr>
    </w:p>
    <w:p w:rsidR="00E76C36" w:rsidRDefault="00E76C36" w:rsidP="00E76C36">
      <w:pPr>
        <w:spacing w:line="360" w:lineRule="auto"/>
        <w:jc w:val="center"/>
        <w:rPr>
          <w:rFonts w:ascii="Cambria" w:hAnsi="Cambria"/>
        </w:rPr>
      </w:pPr>
    </w:p>
    <w:p w:rsidR="00E76C36" w:rsidRDefault="00E76C36" w:rsidP="00E76C36">
      <w:pPr>
        <w:spacing w:line="360" w:lineRule="auto"/>
        <w:jc w:val="center"/>
        <w:rPr>
          <w:rFonts w:ascii="Cambria" w:hAnsi="Cambria"/>
        </w:rPr>
      </w:pPr>
    </w:p>
    <w:p w:rsidR="00E76C36" w:rsidRPr="007E2EC4" w:rsidRDefault="00E76C36" w:rsidP="00E76C36">
      <w:pPr>
        <w:spacing w:line="360" w:lineRule="auto"/>
        <w:jc w:val="center"/>
        <w:rPr>
          <w:rFonts w:ascii="Cambria" w:hAnsi="Cambria"/>
          <w:sz w:val="28"/>
          <w:szCs w:val="28"/>
        </w:rPr>
      </w:pPr>
      <w:r>
        <w:rPr>
          <w:rFonts w:ascii="Cambria" w:hAnsi="Cambria"/>
          <w:sz w:val="28"/>
          <w:szCs w:val="28"/>
        </w:rPr>
        <w:t>CIS 3367</w:t>
      </w:r>
    </w:p>
    <w:p w:rsidR="00E76C36" w:rsidRPr="007E2EC4" w:rsidRDefault="00E76C36" w:rsidP="00E76C36">
      <w:pPr>
        <w:spacing w:line="360" w:lineRule="auto"/>
        <w:jc w:val="center"/>
        <w:rPr>
          <w:rFonts w:ascii="Cambria" w:hAnsi="Cambria"/>
          <w:sz w:val="28"/>
          <w:szCs w:val="28"/>
        </w:rPr>
      </w:pPr>
      <w:r w:rsidRPr="007E2EC4">
        <w:rPr>
          <w:rFonts w:ascii="Cambria" w:hAnsi="Cambria"/>
          <w:sz w:val="28"/>
          <w:szCs w:val="28"/>
        </w:rPr>
        <w:t xml:space="preserve">Professor </w:t>
      </w:r>
      <w:r>
        <w:rPr>
          <w:rFonts w:ascii="Cambria" w:hAnsi="Cambria"/>
          <w:sz w:val="28"/>
          <w:szCs w:val="28"/>
        </w:rPr>
        <w:t>Soniya A. Dsouza</w:t>
      </w:r>
    </w:p>
    <w:p w:rsidR="00E76C36" w:rsidRDefault="00E76C36" w:rsidP="00E76C36">
      <w:pPr>
        <w:spacing w:line="480" w:lineRule="auto"/>
        <w:ind w:firstLine="720"/>
        <w:rPr>
          <w:rFonts w:ascii="Cambria" w:hAnsi="Cambria"/>
          <w:sz w:val="22"/>
          <w:szCs w:val="22"/>
        </w:rPr>
      </w:pPr>
    </w:p>
    <w:p w:rsidR="00E76C36" w:rsidRDefault="00E76C36" w:rsidP="00E76C36">
      <w:pPr>
        <w:spacing w:line="480" w:lineRule="auto"/>
        <w:ind w:firstLine="720"/>
        <w:rPr>
          <w:rFonts w:ascii="Cambria" w:hAnsi="Cambria"/>
          <w:sz w:val="22"/>
          <w:szCs w:val="22"/>
        </w:rPr>
      </w:pPr>
    </w:p>
    <w:p w:rsidR="00E76C36" w:rsidRDefault="00E76C36" w:rsidP="00E76C36">
      <w:pPr>
        <w:spacing w:line="480" w:lineRule="auto"/>
        <w:ind w:firstLine="720"/>
        <w:rPr>
          <w:rFonts w:ascii="Cambria" w:hAnsi="Cambria"/>
          <w:sz w:val="22"/>
          <w:szCs w:val="22"/>
        </w:rPr>
      </w:pPr>
    </w:p>
    <w:p w:rsidR="00E76C36" w:rsidRDefault="00E76C36" w:rsidP="00E76C36">
      <w:pPr>
        <w:spacing w:line="480" w:lineRule="auto"/>
        <w:ind w:firstLine="720"/>
        <w:rPr>
          <w:rFonts w:ascii="Cambria" w:hAnsi="Cambria"/>
          <w:sz w:val="22"/>
          <w:szCs w:val="22"/>
        </w:rPr>
      </w:pPr>
    </w:p>
    <w:p w:rsidR="00E76C36" w:rsidRDefault="00E76C36" w:rsidP="00E76C36">
      <w:pPr>
        <w:spacing w:line="480" w:lineRule="auto"/>
        <w:ind w:firstLine="720"/>
        <w:rPr>
          <w:rFonts w:ascii="Cambria" w:hAnsi="Cambria"/>
          <w:sz w:val="22"/>
          <w:szCs w:val="22"/>
        </w:rPr>
      </w:pPr>
    </w:p>
    <w:p w:rsidR="00E76C36" w:rsidRDefault="00E76C36" w:rsidP="00E76C36">
      <w:pPr>
        <w:spacing w:line="480" w:lineRule="auto"/>
        <w:ind w:firstLine="720"/>
        <w:rPr>
          <w:rFonts w:ascii="Cambria" w:hAnsi="Cambria"/>
          <w:sz w:val="22"/>
          <w:szCs w:val="22"/>
        </w:rPr>
      </w:pPr>
    </w:p>
    <w:p w:rsidR="00E76C36" w:rsidRPr="00E76C36" w:rsidRDefault="00E76C36" w:rsidP="00E76C36">
      <w:pPr>
        <w:spacing w:line="360" w:lineRule="auto"/>
        <w:rPr>
          <w:rFonts w:ascii="Cambria" w:hAnsi="Cambria"/>
        </w:rPr>
      </w:pPr>
    </w:p>
    <w:p w:rsidR="00FF75F8" w:rsidRDefault="00062FB5" w:rsidP="00E76C36">
      <w:pPr>
        <w:spacing w:line="360" w:lineRule="auto"/>
        <w:rPr>
          <w:rFonts w:ascii="Cambria" w:hAnsi="Cambria"/>
        </w:rPr>
      </w:pPr>
      <w:r w:rsidRPr="00E76C36">
        <w:rPr>
          <w:rFonts w:ascii="Cambria" w:hAnsi="Cambria"/>
          <w:b/>
        </w:rPr>
        <w:lastRenderedPageBreak/>
        <w:tab/>
      </w:r>
      <w:r w:rsidRPr="00E76C36">
        <w:rPr>
          <w:rFonts w:ascii="Cambria" w:hAnsi="Cambria"/>
        </w:rPr>
        <w:t xml:space="preserve">After extensively researching the historical stock pricing data of </w:t>
      </w:r>
      <w:r w:rsidR="001B0970">
        <w:rPr>
          <w:rFonts w:ascii="Cambria" w:hAnsi="Cambria"/>
        </w:rPr>
        <w:t>Apple Inc. (AAPL),</w:t>
      </w:r>
      <w:r w:rsidRPr="00E76C36">
        <w:rPr>
          <w:rFonts w:ascii="Cambria" w:hAnsi="Cambria"/>
        </w:rPr>
        <w:t xml:space="preserve"> </w:t>
      </w:r>
      <w:r w:rsidR="001B0970">
        <w:rPr>
          <w:rFonts w:ascii="Cambria" w:hAnsi="Cambria"/>
        </w:rPr>
        <w:t>Advanced Micro Devices</w:t>
      </w:r>
      <w:r w:rsidRPr="00E76C36">
        <w:rPr>
          <w:rFonts w:ascii="Cambria" w:hAnsi="Cambria"/>
        </w:rPr>
        <w:t>,</w:t>
      </w:r>
      <w:r w:rsidR="001B0970">
        <w:rPr>
          <w:rFonts w:ascii="Cambria" w:hAnsi="Cambria"/>
        </w:rPr>
        <w:t xml:space="preserve"> Inc. (AMD),</w:t>
      </w:r>
      <w:r w:rsidRPr="00E76C36">
        <w:rPr>
          <w:rFonts w:ascii="Cambria" w:hAnsi="Cambria"/>
        </w:rPr>
        <w:t xml:space="preserve"> </w:t>
      </w:r>
      <w:r w:rsidR="001B0970">
        <w:rPr>
          <w:rFonts w:ascii="Cambria" w:hAnsi="Cambria"/>
        </w:rPr>
        <w:t>Intel Corporation (INTC), NVIDIA Corporation (NVDA), and</w:t>
      </w:r>
      <w:r w:rsidRPr="00E76C36">
        <w:rPr>
          <w:rFonts w:ascii="Cambria" w:hAnsi="Cambria"/>
        </w:rPr>
        <w:t xml:space="preserve"> </w:t>
      </w:r>
      <w:r w:rsidR="001B0970">
        <w:rPr>
          <w:rFonts w:ascii="Cambria" w:hAnsi="Cambria"/>
        </w:rPr>
        <w:t>QUALCOMM Incorporated (QCOM)</w:t>
      </w:r>
      <w:r w:rsidRPr="00E76C36">
        <w:rPr>
          <w:rFonts w:ascii="Cambria" w:hAnsi="Cambria"/>
        </w:rPr>
        <w:t xml:space="preserve">, </w:t>
      </w:r>
      <w:r w:rsidR="006939F3">
        <w:rPr>
          <w:rFonts w:ascii="Cambria" w:hAnsi="Cambria"/>
        </w:rPr>
        <w:t>I have</w:t>
      </w:r>
      <w:r w:rsidRPr="00E76C36">
        <w:rPr>
          <w:rFonts w:ascii="Cambria" w:hAnsi="Cambria"/>
        </w:rPr>
        <w:t xml:space="preserve"> concluded that </w:t>
      </w:r>
      <w:r w:rsidR="006939F3">
        <w:rPr>
          <w:rFonts w:ascii="Cambria" w:hAnsi="Cambria"/>
        </w:rPr>
        <w:t>AMD</w:t>
      </w:r>
      <w:r w:rsidRPr="00E76C36">
        <w:rPr>
          <w:rFonts w:ascii="Cambria" w:hAnsi="Cambria"/>
        </w:rPr>
        <w:t xml:space="preserve"> would be the best candidate for future investment. </w:t>
      </w:r>
      <w:r w:rsidR="006939F3">
        <w:rPr>
          <w:rFonts w:ascii="Cambria" w:hAnsi="Cambria"/>
        </w:rPr>
        <w:t xml:space="preserve">This </w:t>
      </w:r>
      <w:r w:rsidR="00EE429B" w:rsidRPr="00E76C36">
        <w:rPr>
          <w:rFonts w:ascii="Cambria" w:hAnsi="Cambria"/>
        </w:rPr>
        <w:t xml:space="preserve">analysis </w:t>
      </w:r>
      <w:r w:rsidR="00EB00C8" w:rsidRPr="00E76C36">
        <w:rPr>
          <w:rFonts w:ascii="Cambria" w:hAnsi="Cambria"/>
        </w:rPr>
        <w:t>is based off of multiple factors, the first of which is seen in</w:t>
      </w:r>
      <w:r w:rsidR="00FF75F8" w:rsidRPr="00E76C36">
        <w:rPr>
          <w:rFonts w:ascii="Cambria" w:hAnsi="Cambria"/>
        </w:rPr>
        <w:t xml:space="preserve"> </w:t>
      </w:r>
      <w:r w:rsidR="001C6639" w:rsidRPr="00E76C36">
        <w:rPr>
          <w:rFonts w:ascii="Cambria" w:hAnsi="Cambria"/>
        </w:rPr>
        <w:t xml:space="preserve">the </w:t>
      </w:r>
      <w:r w:rsidR="00EB00C8" w:rsidRPr="00E76C36">
        <w:rPr>
          <w:rFonts w:ascii="Cambria" w:hAnsi="Cambria"/>
        </w:rPr>
        <w:t>table</w:t>
      </w:r>
      <w:r w:rsidR="001C6639" w:rsidRPr="00E76C36">
        <w:rPr>
          <w:rFonts w:ascii="Cambria" w:hAnsi="Cambria"/>
        </w:rPr>
        <w:t xml:space="preserve"> </w:t>
      </w:r>
      <w:r w:rsidR="00FF75F8" w:rsidRPr="00E76C36">
        <w:rPr>
          <w:rFonts w:ascii="Cambria" w:hAnsi="Cambria"/>
        </w:rPr>
        <w:t>below</w:t>
      </w:r>
      <w:r w:rsidR="00EB00C8" w:rsidRPr="00E76C36">
        <w:rPr>
          <w:rFonts w:ascii="Cambria" w:hAnsi="Cambria"/>
        </w:rPr>
        <w:t>, which</w:t>
      </w:r>
      <w:r w:rsidR="00FF75F8" w:rsidRPr="00E76C36">
        <w:rPr>
          <w:rFonts w:ascii="Cambria" w:hAnsi="Cambria"/>
        </w:rPr>
        <w:t xml:space="preserve"> </w:t>
      </w:r>
      <w:r w:rsidR="00EB00C8" w:rsidRPr="00E76C36">
        <w:rPr>
          <w:rFonts w:ascii="Cambria" w:hAnsi="Cambria"/>
        </w:rPr>
        <w:t>compares</w:t>
      </w:r>
      <w:r w:rsidR="00FF75F8" w:rsidRPr="00E76C36">
        <w:rPr>
          <w:rFonts w:ascii="Cambria" w:hAnsi="Cambria"/>
        </w:rPr>
        <w:t xml:space="preserve"> the </w:t>
      </w:r>
      <w:r w:rsidR="006A2A6E" w:rsidRPr="00E76C36">
        <w:rPr>
          <w:rFonts w:ascii="Cambria" w:hAnsi="Cambria"/>
        </w:rPr>
        <w:t xml:space="preserve">highest </w:t>
      </w:r>
      <w:r w:rsidR="003408E2" w:rsidRPr="00E76C36">
        <w:rPr>
          <w:rFonts w:ascii="Cambria" w:hAnsi="Cambria"/>
        </w:rPr>
        <w:t>positive and negative</w:t>
      </w:r>
      <w:r w:rsidR="006A2A6E" w:rsidRPr="00E76C36">
        <w:rPr>
          <w:rFonts w:ascii="Cambria" w:hAnsi="Cambria"/>
        </w:rPr>
        <w:t xml:space="preserve"> </w:t>
      </w:r>
      <w:r w:rsidR="0002526C" w:rsidRPr="00E76C36">
        <w:rPr>
          <w:rFonts w:ascii="Cambria" w:hAnsi="Cambria"/>
        </w:rPr>
        <w:t>percent changes in closing prices</w:t>
      </w:r>
      <w:r w:rsidR="006A2A6E" w:rsidRPr="00E76C36">
        <w:rPr>
          <w:rFonts w:ascii="Cambria" w:hAnsi="Cambria"/>
        </w:rPr>
        <w:t xml:space="preserve"> for each stock:</w:t>
      </w:r>
    </w:p>
    <w:p w:rsidR="00EB5173" w:rsidRPr="00E76C36" w:rsidRDefault="00EB5173" w:rsidP="00E76C36">
      <w:pPr>
        <w:spacing w:line="360" w:lineRule="auto"/>
        <w:rPr>
          <w:rFonts w:ascii="Cambria" w:hAnsi="Cambria"/>
        </w:rPr>
      </w:pPr>
    </w:p>
    <w:tbl>
      <w:tblPr>
        <w:tblStyle w:val="GridTable4-Accent5"/>
        <w:tblW w:w="0" w:type="auto"/>
        <w:tblInd w:w="445" w:type="dxa"/>
        <w:tblCellMar>
          <w:top w:w="115" w:type="dxa"/>
          <w:left w:w="115" w:type="dxa"/>
          <w:right w:w="115" w:type="dxa"/>
        </w:tblCellMar>
        <w:tblLook w:val="04A0" w:firstRow="1" w:lastRow="0" w:firstColumn="1" w:lastColumn="0" w:noHBand="0" w:noVBand="1"/>
      </w:tblPr>
      <w:tblGrid>
        <w:gridCol w:w="2340"/>
        <w:gridCol w:w="1350"/>
        <w:gridCol w:w="2298"/>
        <w:gridCol w:w="2382"/>
      </w:tblGrid>
      <w:tr w:rsidR="001728DF" w:rsidRPr="00E76C36" w:rsidTr="00C159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rsidR="001728DF" w:rsidRPr="00E76C36" w:rsidRDefault="00B267D1" w:rsidP="001B0970">
            <w:pPr>
              <w:spacing w:line="360" w:lineRule="auto"/>
              <w:jc w:val="center"/>
              <w:rPr>
                <w:rFonts w:ascii="Cambria" w:hAnsi="Cambria"/>
              </w:rPr>
            </w:pPr>
            <w:r>
              <w:rPr>
                <w:rFonts w:ascii="Cambria" w:hAnsi="Cambria"/>
              </w:rPr>
              <w:t>Company</w:t>
            </w:r>
            <w:r w:rsidR="001728DF" w:rsidRPr="00E76C36">
              <w:rPr>
                <w:rFonts w:ascii="Cambria" w:hAnsi="Cambria"/>
              </w:rPr>
              <w:t xml:space="preserve"> Name</w:t>
            </w:r>
          </w:p>
        </w:tc>
        <w:tc>
          <w:tcPr>
            <w:tcW w:w="1350" w:type="dxa"/>
            <w:vAlign w:val="center"/>
          </w:tcPr>
          <w:p w:rsidR="001728DF" w:rsidRPr="00E76C36" w:rsidRDefault="00D42EB9" w:rsidP="001B0970">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w:hAnsi="Cambria"/>
              </w:rPr>
            </w:pPr>
            <w:r w:rsidRPr="00E76C36">
              <w:rPr>
                <w:rFonts w:ascii="Cambria" w:hAnsi="Cambria"/>
              </w:rPr>
              <w:t>S</w:t>
            </w:r>
            <w:r w:rsidR="001728DF" w:rsidRPr="00E76C36">
              <w:rPr>
                <w:rFonts w:ascii="Cambria" w:hAnsi="Cambria"/>
              </w:rPr>
              <w:t>ymbol</w:t>
            </w:r>
          </w:p>
        </w:tc>
        <w:tc>
          <w:tcPr>
            <w:tcW w:w="2298" w:type="dxa"/>
            <w:vAlign w:val="center"/>
          </w:tcPr>
          <w:p w:rsidR="001728DF" w:rsidRPr="00E76C36" w:rsidRDefault="001C6639" w:rsidP="001B0970">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w:hAnsi="Cambria"/>
              </w:rPr>
            </w:pPr>
            <w:r w:rsidRPr="00E76C36">
              <w:rPr>
                <w:rFonts w:ascii="Cambria" w:hAnsi="Cambria"/>
              </w:rPr>
              <w:t>Positive</w:t>
            </w:r>
            <w:r w:rsidR="001728DF" w:rsidRPr="00E76C36">
              <w:rPr>
                <w:rFonts w:ascii="Cambria" w:hAnsi="Cambria"/>
              </w:rPr>
              <w:t xml:space="preserve"> </w:t>
            </w:r>
            <w:r w:rsidR="00BB4FEE" w:rsidRPr="00E76C36">
              <w:rPr>
                <w:rFonts w:ascii="Cambria" w:hAnsi="Cambria"/>
              </w:rPr>
              <w:t>% Change</w:t>
            </w:r>
          </w:p>
        </w:tc>
        <w:tc>
          <w:tcPr>
            <w:tcW w:w="2382" w:type="dxa"/>
            <w:vAlign w:val="center"/>
          </w:tcPr>
          <w:p w:rsidR="001728DF" w:rsidRPr="00E76C36" w:rsidRDefault="001C6639" w:rsidP="001B0970">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w:hAnsi="Cambria"/>
              </w:rPr>
            </w:pPr>
            <w:r w:rsidRPr="00E76C36">
              <w:rPr>
                <w:rFonts w:ascii="Cambria" w:hAnsi="Cambria"/>
              </w:rPr>
              <w:t>Negative</w:t>
            </w:r>
            <w:r w:rsidR="00BB4FEE" w:rsidRPr="00E76C36">
              <w:rPr>
                <w:rFonts w:ascii="Cambria" w:hAnsi="Cambria"/>
              </w:rPr>
              <w:t xml:space="preserve"> % Change</w:t>
            </w:r>
          </w:p>
        </w:tc>
      </w:tr>
      <w:tr w:rsidR="001728DF" w:rsidRPr="00E76C36" w:rsidTr="00C15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rsidR="001728DF" w:rsidRPr="00E76C36" w:rsidRDefault="00B267D1" w:rsidP="001B0970">
            <w:pPr>
              <w:spacing w:line="360" w:lineRule="auto"/>
              <w:jc w:val="center"/>
              <w:rPr>
                <w:rFonts w:ascii="Cambria" w:hAnsi="Cambria"/>
              </w:rPr>
            </w:pPr>
            <w:r>
              <w:rPr>
                <w:rFonts w:ascii="Cambria" w:hAnsi="Cambria"/>
              </w:rPr>
              <w:t>Apple Inc.</w:t>
            </w:r>
          </w:p>
        </w:tc>
        <w:tc>
          <w:tcPr>
            <w:tcW w:w="1350" w:type="dxa"/>
            <w:vAlign w:val="center"/>
          </w:tcPr>
          <w:p w:rsidR="001728DF" w:rsidRPr="00E76C36" w:rsidRDefault="00B267D1" w:rsidP="001B0970">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AAPL</w:t>
            </w:r>
          </w:p>
        </w:tc>
        <w:tc>
          <w:tcPr>
            <w:tcW w:w="2298" w:type="dxa"/>
            <w:vAlign w:val="center"/>
          </w:tcPr>
          <w:p w:rsidR="00BB4FEE" w:rsidRPr="00E76C36" w:rsidRDefault="00B267D1" w:rsidP="001B0970">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12/26</w:t>
            </w:r>
            <w:r w:rsidR="002B66A8" w:rsidRPr="00E76C36">
              <w:rPr>
                <w:rFonts w:ascii="Cambria" w:hAnsi="Cambria"/>
              </w:rPr>
              <w:t>/</w:t>
            </w:r>
            <w:r w:rsidR="00353BA9">
              <w:rPr>
                <w:rFonts w:ascii="Cambria" w:hAnsi="Cambria"/>
              </w:rPr>
              <w:t>20</w:t>
            </w:r>
            <w:r w:rsidR="002B66A8" w:rsidRPr="00E76C36">
              <w:rPr>
                <w:rFonts w:ascii="Cambria" w:hAnsi="Cambria"/>
              </w:rPr>
              <w:t>18</w:t>
            </w:r>
          </w:p>
          <w:p w:rsidR="001728DF" w:rsidRPr="00E76C36" w:rsidRDefault="002B66A8" w:rsidP="00B267D1">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E76C36">
              <w:rPr>
                <w:rFonts w:ascii="Cambria" w:hAnsi="Cambria"/>
                <w:color w:val="006600"/>
              </w:rPr>
              <w:t>+</w:t>
            </w:r>
            <w:r w:rsidR="00B267D1">
              <w:rPr>
                <w:rFonts w:ascii="Cambria" w:hAnsi="Cambria"/>
                <w:color w:val="006600"/>
              </w:rPr>
              <w:t>7.04</w:t>
            </w:r>
            <w:r w:rsidRPr="00E76C36">
              <w:rPr>
                <w:rFonts w:ascii="Cambria" w:hAnsi="Cambria"/>
                <w:color w:val="006600"/>
              </w:rPr>
              <w:t>%</w:t>
            </w:r>
          </w:p>
        </w:tc>
        <w:tc>
          <w:tcPr>
            <w:tcW w:w="2382" w:type="dxa"/>
            <w:vAlign w:val="center"/>
          </w:tcPr>
          <w:p w:rsidR="002B66A8" w:rsidRPr="00E76C36" w:rsidRDefault="00B267D1" w:rsidP="001B0970">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01/03/</w:t>
            </w:r>
            <w:r w:rsidR="00353BA9">
              <w:rPr>
                <w:rFonts w:ascii="Cambria" w:hAnsi="Cambria"/>
              </w:rPr>
              <w:t>20</w:t>
            </w:r>
            <w:r>
              <w:rPr>
                <w:rFonts w:ascii="Cambria" w:hAnsi="Cambria"/>
              </w:rPr>
              <w:t>19</w:t>
            </w:r>
          </w:p>
          <w:p w:rsidR="001728DF" w:rsidRPr="00E76C36" w:rsidRDefault="002B66A8" w:rsidP="00B267D1">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800000"/>
              </w:rPr>
            </w:pPr>
            <w:r w:rsidRPr="00E76C36">
              <w:rPr>
                <w:rFonts w:ascii="Cambria" w:hAnsi="Cambria"/>
                <w:color w:val="800000"/>
              </w:rPr>
              <w:t>-9.</w:t>
            </w:r>
            <w:r w:rsidR="00B267D1">
              <w:rPr>
                <w:rFonts w:ascii="Cambria" w:hAnsi="Cambria"/>
                <w:color w:val="800000"/>
              </w:rPr>
              <w:t>96</w:t>
            </w:r>
            <w:r w:rsidRPr="00E76C36">
              <w:rPr>
                <w:rFonts w:ascii="Cambria" w:hAnsi="Cambria"/>
                <w:color w:val="800000"/>
              </w:rPr>
              <w:t>%</w:t>
            </w:r>
          </w:p>
        </w:tc>
      </w:tr>
      <w:tr w:rsidR="001728DF" w:rsidRPr="00E76C36" w:rsidTr="00C159A2">
        <w:tc>
          <w:tcPr>
            <w:cnfStyle w:val="001000000000" w:firstRow="0" w:lastRow="0" w:firstColumn="1" w:lastColumn="0" w:oddVBand="0" w:evenVBand="0" w:oddHBand="0" w:evenHBand="0" w:firstRowFirstColumn="0" w:firstRowLastColumn="0" w:lastRowFirstColumn="0" w:lastRowLastColumn="0"/>
            <w:tcW w:w="2340" w:type="dxa"/>
            <w:vAlign w:val="center"/>
          </w:tcPr>
          <w:p w:rsidR="001728DF" w:rsidRPr="00E76C36" w:rsidRDefault="00B267D1" w:rsidP="001B0970">
            <w:pPr>
              <w:spacing w:line="360" w:lineRule="auto"/>
              <w:jc w:val="center"/>
              <w:rPr>
                <w:rFonts w:ascii="Cambria" w:hAnsi="Cambria"/>
              </w:rPr>
            </w:pPr>
            <w:r>
              <w:rPr>
                <w:rFonts w:ascii="Cambria" w:hAnsi="Cambria"/>
              </w:rPr>
              <w:t>Advanced Micro Devices, Inc.</w:t>
            </w:r>
          </w:p>
        </w:tc>
        <w:tc>
          <w:tcPr>
            <w:tcW w:w="1350" w:type="dxa"/>
            <w:vAlign w:val="center"/>
          </w:tcPr>
          <w:p w:rsidR="001728DF" w:rsidRPr="00E76C36" w:rsidRDefault="00B267D1" w:rsidP="001B097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AMD</w:t>
            </w:r>
          </w:p>
        </w:tc>
        <w:tc>
          <w:tcPr>
            <w:tcW w:w="2298" w:type="dxa"/>
            <w:vAlign w:val="center"/>
          </w:tcPr>
          <w:p w:rsidR="001728DF" w:rsidRPr="00E76C36" w:rsidRDefault="00353BA9" w:rsidP="001B097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01/30/20</w:t>
            </w:r>
            <w:r w:rsidR="00B267D1">
              <w:rPr>
                <w:rFonts w:ascii="Cambria" w:hAnsi="Cambria"/>
              </w:rPr>
              <w:t>19</w:t>
            </w:r>
          </w:p>
          <w:p w:rsidR="002B66A8" w:rsidRPr="00E76C36" w:rsidRDefault="002B66A8" w:rsidP="00B267D1">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w:hAnsi="Cambria"/>
                <w:color w:val="006600"/>
              </w:rPr>
            </w:pPr>
            <w:r w:rsidRPr="00E76C36">
              <w:rPr>
                <w:rFonts w:ascii="Cambria" w:hAnsi="Cambria"/>
                <w:color w:val="006600"/>
              </w:rPr>
              <w:t>+</w:t>
            </w:r>
            <w:r w:rsidR="00B267D1">
              <w:rPr>
                <w:rFonts w:ascii="Cambria" w:hAnsi="Cambria"/>
                <w:color w:val="006600"/>
              </w:rPr>
              <w:t>19.95</w:t>
            </w:r>
            <w:r w:rsidRPr="00E76C36">
              <w:rPr>
                <w:rFonts w:ascii="Cambria" w:hAnsi="Cambria"/>
                <w:color w:val="006600"/>
              </w:rPr>
              <w:t>%</w:t>
            </w:r>
          </w:p>
        </w:tc>
        <w:tc>
          <w:tcPr>
            <w:tcW w:w="2382" w:type="dxa"/>
            <w:vAlign w:val="center"/>
          </w:tcPr>
          <w:p w:rsidR="001728DF" w:rsidRPr="00E76C36" w:rsidRDefault="00353BA9" w:rsidP="001B097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10/25</w:t>
            </w:r>
            <w:r w:rsidR="002B66A8" w:rsidRPr="00E76C36">
              <w:rPr>
                <w:rFonts w:ascii="Cambria" w:hAnsi="Cambria"/>
              </w:rPr>
              <w:t>/</w:t>
            </w:r>
            <w:r>
              <w:rPr>
                <w:rFonts w:ascii="Cambria" w:hAnsi="Cambria"/>
              </w:rPr>
              <w:t>20</w:t>
            </w:r>
            <w:r w:rsidR="002B66A8" w:rsidRPr="00E76C36">
              <w:rPr>
                <w:rFonts w:ascii="Cambria" w:hAnsi="Cambria"/>
              </w:rPr>
              <w:t>18</w:t>
            </w:r>
          </w:p>
          <w:p w:rsidR="002B66A8" w:rsidRPr="00E76C36" w:rsidRDefault="002B66A8" w:rsidP="00353BA9">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w:hAnsi="Cambria"/>
                <w:color w:val="800000"/>
              </w:rPr>
            </w:pPr>
            <w:r w:rsidRPr="00E76C36">
              <w:rPr>
                <w:rFonts w:ascii="Cambria" w:hAnsi="Cambria"/>
                <w:color w:val="800000"/>
              </w:rPr>
              <w:t>-</w:t>
            </w:r>
            <w:r w:rsidR="00353BA9">
              <w:rPr>
                <w:rFonts w:ascii="Cambria" w:hAnsi="Cambria"/>
                <w:color w:val="800000"/>
              </w:rPr>
              <w:t>15</w:t>
            </w:r>
            <w:r w:rsidRPr="00E76C36">
              <w:rPr>
                <w:rFonts w:ascii="Cambria" w:hAnsi="Cambria"/>
                <w:color w:val="800000"/>
              </w:rPr>
              <w:t>.</w:t>
            </w:r>
            <w:r w:rsidR="00353BA9">
              <w:rPr>
                <w:rFonts w:ascii="Cambria" w:hAnsi="Cambria"/>
                <w:color w:val="800000"/>
              </w:rPr>
              <w:t>45</w:t>
            </w:r>
            <w:r w:rsidRPr="00E76C36">
              <w:rPr>
                <w:rFonts w:ascii="Cambria" w:hAnsi="Cambria"/>
                <w:color w:val="800000"/>
              </w:rPr>
              <w:t>%</w:t>
            </w:r>
          </w:p>
        </w:tc>
      </w:tr>
      <w:tr w:rsidR="001728DF" w:rsidRPr="00E76C36" w:rsidTr="00C15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rsidR="001728DF" w:rsidRPr="00E76C36" w:rsidRDefault="00B267D1" w:rsidP="001B0970">
            <w:pPr>
              <w:spacing w:line="360" w:lineRule="auto"/>
              <w:jc w:val="center"/>
              <w:rPr>
                <w:rFonts w:ascii="Cambria" w:hAnsi="Cambria"/>
              </w:rPr>
            </w:pPr>
            <w:r>
              <w:rPr>
                <w:rFonts w:ascii="Cambria" w:hAnsi="Cambria"/>
              </w:rPr>
              <w:t>Intel Corporation</w:t>
            </w:r>
          </w:p>
        </w:tc>
        <w:tc>
          <w:tcPr>
            <w:tcW w:w="1350" w:type="dxa"/>
            <w:vAlign w:val="center"/>
          </w:tcPr>
          <w:p w:rsidR="001728DF" w:rsidRPr="00E76C36" w:rsidRDefault="00B267D1" w:rsidP="001B0970">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INTC</w:t>
            </w:r>
          </w:p>
        </w:tc>
        <w:tc>
          <w:tcPr>
            <w:tcW w:w="2298" w:type="dxa"/>
            <w:vAlign w:val="center"/>
          </w:tcPr>
          <w:p w:rsidR="001728DF" w:rsidRPr="00E76C36" w:rsidRDefault="00353BA9" w:rsidP="001B0970">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01</w:t>
            </w:r>
            <w:r w:rsidR="002B66A8" w:rsidRPr="00E76C36">
              <w:rPr>
                <w:rFonts w:ascii="Cambria" w:hAnsi="Cambria"/>
              </w:rPr>
              <w:t>/</w:t>
            </w:r>
            <w:r>
              <w:rPr>
                <w:rFonts w:ascii="Cambria" w:hAnsi="Cambria"/>
              </w:rPr>
              <w:t>04</w:t>
            </w:r>
            <w:r w:rsidR="002B66A8" w:rsidRPr="00E76C36">
              <w:rPr>
                <w:rFonts w:ascii="Cambria" w:hAnsi="Cambria"/>
              </w:rPr>
              <w:t>/</w:t>
            </w:r>
            <w:r>
              <w:rPr>
                <w:rFonts w:ascii="Cambria" w:hAnsi="Cambria"/>
              </w:rPr>
              <w:t>2019</w:t>
            </w:r>
          </w:p>
          <w:p w:rsidR="002B66A8" w:rsidRPr="00E76C36" w:rsidRDefault="002B66A8" w:rsidP="00353BA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006600"/>
              </w:rPr>
            </w:pPr>
            <w:r w:rsidRPr="00E76C36">
              <w:rPr>
                <w:rFonts w:ascii="Cambria" w:hAnsi="Cambria"/>
                <w:color w:val="006600"/>
              </w:rPr>
              <w:t>+</w:t>
            </w:r>
            <w:r w:rsidR="00353BA9">
              <w:rPr>
                <w:rFonts w:ascii="Cambria" w:hAnsi="Cambria"/>
                <w:color w:val="006600"/>
              </w:rPr>
              <w:t>6.14</w:t>
            </w:r>
            <w:r w:rsidRPr="00E76C36">
              <w:rPr>
                <w:rFonts w:ascii="Cambria" w:hAnsi="Cambria"/>
                <w:color w:val="006600"/>
              </w:rPr>
              <w:t>%</w:t>
            </w:r>
          </w:p>
        </w:tc>
        <w:tc>
          <w:tcPr>
            <w:tcW w:w="2382" w:type="dxa"/>
            <w:vAlign w:val="center"/>
          </w:tcPr>
          <w:p w:rsidR="001728DF" w:rsidRPr="00E76C36" w:rsidRDefault="00353BA9" w:rsidP="001B0970">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07</w:t>
            </w:r>
            <w:r w:rsidR="002B66A8" w:rsidRPr="00E76C36">
              <w:rPr>
                <w:rFonts w:ascii="Cambria" w:hAnsi="Cambria"/>
              </w:rPr>
              <w:t>/</w:t>
            </w:r>
            <w:r>
              <w:rPr>
                <w:rFonts w:ascii="Cambria" w:hAnsi="Cambria"/>
              </w:rPr>
              <w:t>27</w:t>
            </w:r>
            <w:r w:rsidR="002B66A8" w:rsidRPr="00E76C36">
              <w:rPr>
                <w:rFonts w:ascii="Cambria" w:hAnsi="Cambria"/>
              </w:rPr>
              <w:t>/</w:t>
            </w:r>
            <w:r>
              <w:rPr>
                <w:rFonts w:ascii="Cambria" w:hAnsi="Cambria"/>
              </w:rPr>
              <w:t>20</w:t>
            </w:r>
            <w:r w:rsidR="002B66A8" w:rsidRPr="00E76C36">
              <w:rPr>
                <w:rFonts w:ascii="Cambria" w:hAnsi="Cambria"/>
              </w:rPr>
              <w:t>18</w:t>
            </w:r>
          </w:p>
          <w:p w:rsidR="002B66A8" w:rsidRPr="00E76C36" w:rsidRDefault="002B66A8" w:rsidP="00353BA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800000"/>
              </w:rPr>
            </w:pPr>
            <w:r w:rsidRPr="00E76C36">
              <w:rPr>
                <w:rFonts w:ascii="Cambria" w:hAnsi="Cambria"/>
                <w:color w:val="800000"/>
              </w:rPr>
              <w:t>-</w:t>
            </w:r>
            <w:r w:rsidR="00353BA9">
              <w:rPr>
                <w:rFonts w:ascii="Cambria" w:hAnsi="Cambria"/>
                <w:color w:val="800000"/>
              </w:rPr>
              <w:t>8.59</w:t>
            </w:r>
            <w:r w:rsidRPr="00E76C36">
              <w:rPr>
                <w:rFonts w:ascii="Cambria" w:hAnsi="Cambria"/>
                <w:color w:val="800000"/>
              </w:rPr>
              <w:t>%</w:t>
            </w:r>
          </w:p>
        </w:tc>
      </w:tr>
      <w:tr w:rsidR="001728DF" w:rsidRPr="00E76C36" w:rsidTr="00C159A2">
        <w:tc>
          <w:tcPr>
            <w:cnfStyle w:val="001000000000" w:firstRow="0" w:lastRow="0" w:firstColumn="1" w:lastColumn="0" w:oddVBand="0" w:evenVBand="0" w:oddHBand="0" w:evenHBand="0" w:firstRowFirstColumn="0" w:firstRowLastColumn="0" w:lastRowFirstColumn="0" w:lastRowLastColumn="0"/>
            <w:tcW w:w="2340" w:type="dxa"/>
            <w:vAlign w:val="center"/>
          </w:tcPr>
          <w:p w:rsidR="001728DF" w:rsidRPr="00E76C36" w:rsidRDefault="00B267D1" w:rsidP="001B0970">
            <w:pPr>
              <w:spacing w:line="360" w:lineRule="auto"/>
              <w:jc w:val="center"/>
              <w:rPr>
                <w:rFonts w:ascii="Cambria" w:hAnsi="Cambria"/>
              </w:rPr>
            </w:pPr>
            <w:r>
              <w:rPr>
                <w:rFonts w:ascii="Cambria" w:hAnsi="Cambria"/>
              </w:rPr>
              <w:t>NVIDIA Corporation</w:t>
            </w:r>
          </w:p>
        </w:tc>
        <w:tc>
          <w:tcPr>
            <w:tcW w:w="1350" w:type="dxa"/>
            <w:vAlign w:val="center"/>
          </w:tcPr>
          <w:p w:rsidR="001728DF" w:rsidRPr="00E76C36" w:rsidRDefault="00B267D1" w:rsidP="001B097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NVDA</w:t>
            </w:r>
          </w:p>
        </w:tc>
        <w:tc>
          <w:tcPr>
            <w:tcW w:w="2298" w:type="dxa"/>
            <w:vAlign w:val="center"/>
          </w:tcPr>
          <w:p w:rsidR="001728DF" w:rsidRPr="00E76C36" w:rsidRDefault="00353BA9" w:rsidP="001B097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10</w:t>
            </w:r>
            <w:r w:rsidR="002B66A8" w:rsidRPr="00E76C36">
              <w:rPr>
                <w:rFonts w:ascii="Cambria" w:hAnsi="Cambria"/>
              </w:rPr>
              <w:t>/</w:t>
            </w:r>
            <w:r>
              <w:rPr>
                <w:rFonts w:ascii="Cambria" w:hAnsi="Cambria"/>
              </w:rPr>
              <w:t>30</w:t>
            </w:r>
            <w:r w:rsidR="002B66A8" w:rsidRPr="00E76C36">
              <w:rPr>
                <w:rFonts w:ascii="Cambria" w:hAnsi="Cambria"/>
              </w:rPr>
              <w:t>/</w:t>
            </w:r>
            <w:r>
              <w:rPr>
                <w:rFonts w:ascii="Cambria" w:hAnsi="Cambria"/>
              </w:rPr>
              <w:t>20</w:t>
            </w:r>
            <w:r w:rsidR="002B66A8" w:rsidRPr="00E76C36">
              <w:rPr>
                <w:rFonts w:ascii="Cambria" w:hAnsi="Cambria"/>
              </w:rPr>
              <w:t>18</w:t>
            </w:r>
          </w:p>
          <w:p w:rsidR="002B66A8" w:rsidRPr="00E76C36" w:rsidRDefault="002B66A8" w:rsidP="00353BA9">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w:hAnsi="Cambria"/>
                <w:color w:val="006600"/>
              </w:rPr>
            </w:pPr>
            <w:r w:rsidRPr="00E76C36">
              <w:rPr>
                <w:rFonts w:ascii="Cambria" w:hAnsi="Cambria"/>
                <w:color w:val="006600"/>
              </w:rPr>
              <w:t>+</w:t>
            </w:r>
            <w:r w:rsidR="00353BA9">
              <w:rPr>
                <w:rFonts w:ascii="Cambria" w:hAnsi="Cambria"/>
                <w:color w:val="006600"/>
              </w:rPr>
              <w:t>9.36</w:t>
            </w:r>
            <w:r w:rsidRPr="00E76C36">
              <w:rPr>
                <w:rFonts w:ascii="Cambria" w:hAnsi="Cambria"/>
                <w:color w:val="006600"/>
              </w:rPr>
              <w:t>%</w:t>
            </w:r>
          </w:p>
        </w:tc>
        <w:tc>
          <w:tcPr>
            <w:tcW w:w="2382" w:type="dxa"/>
            <w:vAlign w:val="center"/>
          </w:tcPr>
          <w:p w:rsidR="001728DF" w:rsidRPr="00E76C36" w:rsidRDefault="00353BA9" w:rsidP="001B097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11</w:t>
            </w:r>
            <w:r w:rsidR="0048319D" w:rsidRPr="00E76C36">
              <w:rPr>
                <w:rFonts w:ascii="Cambria" w:hAnsi="Cambria"/>
              </w:rPr>
              <w:t>/</w:t>
            </w:r>
            <w:r>
              <w:rPr>
                <w:rFonts w:ascii="Cambria" w:hAnsi="Cambria"/>
              </w:rPr>
              <w:t>16</w:t>
            </w:r>
            <w:r w:rsidR="0048319D" w:rsidRPr="00E76C36">
              <w:rPr>
                <w:rFonts w:ascii="Cambria" w:hAnsi="Cambria"/>
              </w:rPr>
              <w:t>/</w:t>
            </w:r>
            <w:r>
              <w:rPr>
                <w:rFonts w:ascii="Cambria" w:hAnsi="Cambria"/>
              </w:rPr>
              <w:t>20</w:t>
            </w:r>
            <w:r w:rsidR="0048319D" w:rsidRPr="00E76C36">
              <w:rPr>
                <w:rFonts w:ascii="Cambria" w:hAnsi="Cambria"/>
              </w:rPr>
              <w:t>18</w:t>
            </w:r>
          </w:p>
          <w:p w:rsidR="0048319D" w:rsidRPr="00E76C36" w:rsidRDefault="0048319D" w:rsidP="00353BA9">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w:hAnsi="Cambria"/>
                <w:color w:val="800000"/>
              </w:rPr>
            </w:pPr>
            <w:r w:rsidRPr="00E76C36">
              <w:rPr>
                <w:rFonts w:ascii="Cambria" w:hAnsi="Cambria"/>
                <w:color w:val="800000"/>
              </w:rPr>
              <w:t>-</w:t>
            </w:r>
            <w:r w:rsidR="00353BA9">
              <w:rPr>
                <w:rFonts w:ascii="Cambria" w:hAnsi="Cambria"/>
                <w:color w:val="800000"/>
              </w:rPr>
              <w:t>18.76</w:t>
            </w:r>
            <w:r w:rsidRPr="00E76C36">
              <w:rPr>
                <w:rFonts w:ascii="Cambria" w:hAnsi="Cambria"/>
                <w:color w:val="800000"/>
              </w:rPr>
              <w:t>%</w:t>
            </w:r>
          </w:p>
        </w:tc>
      </w:tr>
      <w:tr w:rsidR="001728DF" w:rsidRPr="00E76C36" w:rsidTr="00C15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rsidR="001728DF" w:rsidRPr="00E76C36" w:rsidRDefault="00B267D1" w:rsidP="001B0970">
            <w:pPr>
              <w:spacing w:line="360" w:lineRule="auto"/>
              <w:jc w:val="center"/>
              <w:rPr>
                <w:rFonts w:ascii="Cambria" w:hAnsi="Cambria"/>
              </w:rPr>
            </w:pPr>
            <w:r>
              <w:rPr>
                <w:rFonts w:ascii="Cambria" w:hAnsi="Cambria"/>
              </w:rPr>
              <w:t>QUALCOMM Incorporated</w:t>
            </w:r>
          </w:p>
        </w:tc>
        <w:tc>
          <w:tcPr>
            <w:tcW w:w="1350" w:type="dxa"/>
            <w:vAlign w:val="center"/>
          </w:tcPr>
          <w:p w:rsidR="001728DF" w:rsidRPr="00E76C36" w:rsidRDefault="00B267D1" w:rsidP="001B0970">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QCOM</w:t>
            </w:r>
          </w:p>
        </w:tc>
        <w:tc>
          <w:tcPr>
            <w:tcW w:w="2298" w:type="dxa"/>
            <w:vAlign w:val="center"/>
          </w:tcPr>
          <w:p w:rsidR="001728DF" w:rsidRPr="00E76C36" w:rsidRDefault="00353BA9" w:rsidP="001B0970">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07</w:t>
            </w:r>
            <w:r w:rsidR="0048319D" w:rsidRPr="00E76C36">
              <w:rPr>
                <w:rFonts w:ascii="Cambria" w:hAnsi="Cambria"/>
              </w:rPr>
              <w:t>/</w:t>
            </w:r>
            <w:r>
              <w:rPr>
                <w:rFonts w:ascii="Cambria" w:hAnsi="Cambria"/>
              </w:rPr>
              <w:t>2</w:t>
            </w:r>
            <w:r w:rsidR="0048319D" w:rsidRPr="00E76C36">
              <w:rPr>
                <w:rFonts w:ascii="Cambria" w:hAnsi="Cambria"/>
              </w:rPr>
              <w:t>6/</w:t>
            </w:r>
            <w:r>
              <w:rPr>
                <w:rFonts w:ascii="Cambria" w:hAnsi="Cambria"/>
              </w:rPr>
              <w:t>2018</w:t>
            </w:r>
          </w:p>
          <w:p w:rsidR="0048319D" w:rsidRPr="00E76C36" w:rsidRDefault="0048319D" w:rsidP="00353BA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006600"/>
              </w:rPr>
            </w:pPr>
            <w:r w:rsidRPr="00E76C36">
              <w:rPr>
                <w:rFonts w:ascii="Cambria" w:hAnsi="Cambria"/>
                <w:color w:val="006600"/>
              </w:rPr>
              <w:t>+7.</w:t>
            </w:r>
            <w:r w:rsidR="00353BA9">
              <w:rPr>
                <w:rFonts w:ascii="Cambria" w:hAnsi="Cambria"/>
                <w:color w:val="006600"/>
              </w:rPr>
              <w:t>00</w:t>
            </w:r>
            <w:r w:rsidRPr="00E76C36">
              <w:rPr>
                <w:rFonts w:ascii="Cambria" w:hAnsi="Cambria"/>
                <w:color w:val="006600"/>
              </w:rPr>
              <w:t>%</w:t>
            </w:r>
          </w:p>
        </w:tc>
        <w:tc>
          <w:tcPr>
            <w:tcW w:w="2382" w:type="dxa"/>
            <w:vAlign w:val="center"/>
          </w:tcPr>
          <w:p w:rsidR="001728DF" w:rsidRPr="00E76C36" w:rsidRDefault="00353BA9" w:rsidP="001B0970">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11</w:t>
            </w:r>
            <w:r w:rsidR="0048319D" w:rsidRPr="00E76C36">
              <w:rPr>
                <w:rFonts w:ascii="Cambria" w:hAnsi="Cambria"/>
              </w:rPr>
              <w:t>/</w:t>
            </w:r>
            <w:r>
              <w:rPr>
                <w:rFonts w:ascii="Cambria" w:hAnsi="Cambria"/>
              </w:rPr>
              <w:t>08</w:t>
            </w:r>
            <w:r w:rsidR="0048319D" w:rsidRPr="00E76C36">
              <w:rPr>
                <w:rFonts w:ascii="Cambria" w:hAnsi="Cambria"/>
              </w:rPr>
              <w:t>/</w:t>
            </w:r>
            <w:r>
              <w:rPr>
                <w:rFonts w:ascii="Cambria" w:hAnsi="Cambria"/>
              </w:rPr>
              <w:t>20</w:t>
            </w:r>
            <w:r w:rsidR="0048319D" w:rsidRPr="00E76C36">
              <w:rPr>
                <w:rFonts w:ascii="Cambria" w:hAnsi="Cambria"/>
              </w:rPr>
              <w:t>18</w:t>
            </w:r>
          </w:p>
          <w:p w:rsidR="0048319D" w:rsidRPr="00E76C36" w:rsidRDefault="0048319D" w:rsidP="00353BA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800000"/>
              </w:rPr>
            </w:pPr>
            <w:r w:rsidRPr="00E76C36">
              <w:rPr>
                <w:rFonts w:ascii="Cambria" w:hAnsi="Cambria"/>
                <w:color w:val="800000"/>
              </w:rPr>
              <w:t>-</w:t>
            </w:r>
            <w:r w:rsidR="00353BA9">
              <w:rPr>
                <w:rFonts w:ascii="Cambria" w:hAnsi="Cambria"/>
                <w:color w:val="800000"/>
              </w:rPr>
              <w:t>8.16</w:t>
            </w:r>
            <w:r w:rsidRPr="00E76C36">
              <w:rPr>
                <w:rFonts w:ascii="Cambria" w:hAnsi="Cambria"/>
                <w:color w:val="800000"/>
              </w:rPr>
              <w:t>%</w:t>
            </w:r>
          </w:p>
        </w:tc>
      </w:tr>
    </w:tbl>
    <w:p w:rsidR="00EB5173" w:rsidRDefault="009B1BFE" w:rsidP="00E76C36">
      <w:pPr>
        <w:spacing w:line="360" w:lineRule="auto"/>
        <w:rPr>
          <w:rFonts w:ascii="Cambria" w:hAnsi="Cambria"/>
        </w:rPr>
      </w:pPr>
      <w:r w:rsidRPr="00E76C36">
        <w:rPr>
          <w:rFonts w:ascii="Cambria" w:hAnsi="Cambria"/>
        </w:rPr>
        <w:tab/>
      </w:r>
    </w:p>
    <w:p w:rsidR="009B1BFE" w:rsidRPr="00E76C36" w:rsidRDefault="00DB525A" w:rsidP="00EB5173">
      <w:pPr>
        <w:spacing w:line="360" w:lineRule="auto"/>
        <w:ind w:firstLine="720"/>
        <w:rPr>
          <w:rFonts w:ascii="Cambria" w:hAnsi="Cambria"/>
        </w:rPr>
      </w:pPr>
      <w:r>
        <w:rPr>
          <w:rFonts w:ascii="Cambria" w:hAnsi="Cambria"/>
        </w:rPr>
        <w:t xml:space="preserve">As seen above, AMD has the highest positive </w:t>
      </w:r>
      <w:r w:rsidR="00511F27">
        <w:rPr>
          <w:rFonts w:ascii="Cambria" w:hAnsi="Cambria"/>
        </w:rPr>
        <w:t xml:space="preserve">day-to-day </w:t>
      </w:r>
      <w:r>
        <w:rPr>
          <w:rFonts w:ascii="Cambria" w:hAnsi="Cambria"/>
        </w:rPr>
        <w:t xml:space="preserve">change in </w:t>
      </w:r>
      <w:r w:rsidR="00511F27">
        <w:rPr>
          <w:rFonts w:ascii="Cambria" w:hAnsi="Cambria"/>
        </w:rPr>
        <w:t>closing percentages at +19.95%, which is more than double the next highest positive change of +9.36% for NVIDIA. While AMD’s highest negative change in closing price is nearly as high at -15.45%, it is still only the second highest out of the selected stocks behind the -18.76% of NVIDIA.</w:t>
      </w:r>
      <w:r w:rsidR="00EC5F80">
        <w:rPr>
          <w:rFonts w:ascii="Cambria" w:hAnsi="Cambria"/>
        </w:rPr>
        <w:t xml:space="preserve"> Additionally, it is the only stock out of the five where the highest positive change in percentage is greater than the highest negative change, and it is by a significant margin of 4.5% higher. Th</w:t>
      </w:r>
      <w:r w:rsidR="00457677">
        <w:rPr>
          <w:rFonts w:ascii="Cambria" w:hAnsi="Cambria"/>
        </w:rPr>
        <w:t>is table, however, is a crude representation of the variance of the stocks, and it would be more suited for a more normal period, such as the prior year, instead of the selected time period where the technology sector of the stock market faced a sudden and tremendous crash as a result of the political climate and economic warfare.</w:t>
      </w:r>
      <w:r w:rsidR="00A661E5">
        <w:rPr>
          <w:rFonts w:ascii="Cambria" w:hAnsi="Cambria"/>
        </w:rPr>
        <w:t xml:space="preserve"> The following </w:t>
      </w:r>
      <w:r w:rsidR="00A661E5">
        <w:rPr>
          <w:rFonts w:ascii="Cambria" w:hAnsi="Cambria"/>
        </w:rPr>
        <w:lastRenderedPageBreak/>
        <w:t>graph of monthly moving averages demonstrates the effects of t</w:t>
      </w:r>
      <w:r w:rsidR="00B12DD2">
        <w:rPr>
          <w:rFonts w:ascii="Cambria" w:hAnsi="Cambria"/>
        </w:rPr>
        <w:t>he market crash on these stocks:</w:t>
      </w:r>
    </w:p>
    <w:p w:rsidR="00AC6628" w:rsidRPr="00E76C36" w:rsidRDefault="009B1BFE" w:rsidP="00E76C36">
      <w:pPr>
        <w:spacing w:line="360" w:lineRule="auto"/>
        <w:rPr>
          <w:rFonts w:ascii="Cambria" w:hAnsi="Cambria"/>
        </w:rPr>
      </w:pPr>
      <w:r w:rsidRPr="00E76C36">
        <w:rPr>
          <w:rFonts w:ascii="Cambria" w:hAnsi="Cambria"/>
          <w:noProof/>
        </w:rPr>
        <w:drawing>
          <wp:inline distT="0" distB="0" distL="0" distR="0" wp14:anchorId="62632A06">
            <wp:extent cx="5920471" cy="3162011"/>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20471" cy="3162011"/>
                    </a:xfrm>
                    <a:prstGeom prst="rect">
                      <a:avLst/>
                    </a:prstGeom>
                    <a:noFill/>
                  </pic:spPr>
                </pic:pic>
              </a:graphicData>
            </a:graphic>
          </wp:inline>
        </w:drawing>
      </w:r>
    </w:p>
    <w:p w:rsidR="00C66FB8" w:rsidRDefault="00145262" w:rsidP="00E76C36">
      <w:pPr>
        <w:spacing w:line="360" w:lineRule="auto"/>
        <w:rPr>
          <w:rFonts w:ascii="Cambria" w:hAnsi="Cambria"/>
        </w:rPr>
      </w:pPr>
      <w:r w:rsidRPr="00E76C36">
        <w:rPr>
          <w:rFonts w:ascii="Cambria" w:hAnsi="Cambria"/>
        </w:rPr>
        <w:tab/>
      </w:r>
      <w:r w:rsidR="00CB51D8">
        <w:rPr>
          <w:rFonts w:ascii="Cambria" w:hAnsi="Cambria"/>
        </w:rPr>
        <w:t xml:space="preserve">As seen in the </w:t>
      </w:r>
      <w:r w:rsidR="00DD4E1E">
        <w:rPr>
          <w:rFonts w:ascii="Cambria" w:hAnsi="Cambria"/>
        </w:rPr>
        <w:t>graph</w:t>
      </w:r>
      <w:r w:rsidR="00CB51D8">
        <w:rPr>
          <w:rFonts w:ascii="Cambria" w:hAnsi="Cambria"/>
        </w:rPr>
        <w:t xml:space="preserve">, September of 2018 was the inflection point for all five stocks in the portfolio as the technology sector of the stock market began a period of </w:t>
      </w:r>
      <w:r w:rsidR="00DD4E1E">
        <w:rPr>
          <w:rFonts w:ascii="Cambria" w:hAnsi="Cambria"/>
        </w:rPr>
        <w:t>shock rec</w:t>
      </w:r>
      <w:r w:rsidR="00CB51D8">
        <w:rPr>
          <w:rFonts w:ascii="Cambria" w:hAnsi="Cambria"/>
        </w:rPr>
        <w:t xml:space="preserve">ession </w:t>
      </w:r>
      <w:r w:rsidR="000364A4">
        <w:rPr>
          <w:rFonts w:ascii="Cambria" w:hAnsi="Cambria"/>
        </w:rPr>
        <w:t>that persisted for the following 4-5 months.</w:t>
      </w:r>
      <w:r w:rsidR="00AD1634" w:rsidRPr="00CB51D8">
        <w:rPr>
          <w:rFonts w:ascii="Cambria" w:hAnsi="Cambria"/>
        </w:rPr>
        <w:t xml:space="preserve"> </w:t>
      </w:r>
      <w:r w:rsidR="00E27766">
        <w:rPr>
          <w:rFonts w:ascii="Cambria" w:hAnsi="Cambria"/>
        </w:rPr>
        <w:t>NVIDIA suffered the greatest losses falling from a peak</w:t>
      </w:r>
      <w:r w:rsidR="005523C0">
        <w:rPr>
          <w:rFonts w:ascii="Cambria" w:hAnsi="Cambria"/>
        </w:rPr>
        <w:t xml:space="preserve"> monthly </w:t>
      </w:r>
      <w:r w:rsidR="00E27766">
        <w:rPr>
          <w:rFonts w:ascii="Cambria" w:hAnsi="Cambria"/>
        </w:rPr>
        <w:t xml:space="preserve">average </w:t>
      </w:r>
      <w:r w:rsidR="00DC6D76">
        <w:rPr>
          <w:rFonts w:ascii="Cambria" w:hAnsi="Cambria"/>
        </w:rPr>
        <w:t xml:space="preserve">closing </w:t>
      </w:r>
      <w:r w:rsidR="00E27766">
        <w:rPr>
          <w:rFonts w:ascii="Cambria" w:hAnsi="Cambria"/>
        </w:rPr>
        <w:t>price</w:t>
      </w:r>
      <w:r w:rsidR="005523C0">
        <w:rPr>
          <w:rFonts w:ascii="Cambria" w:hAnsi="Cambria"/>
        </w:rPr>
        <w:t xml:space="preserve"> (ACP)</w:t>
      </w:r>
      <w:r w:rsidR="00E27766">
        <w:rPr>
          <w:rFonts w:ascii="Cambria" w:hAnsi="Cambria"/>
        </w:rPr>
        <w:t xml:space="preserve"> of $271.91 in September 2018 to a low of </w:t>
      </w:r>
      <w:r w:rsidR="00150F1E">
        <w:rPr>
          <w:rFonts w:ascii="Cambria" w:hAnsi="Cambria"/>
        </w:rPr>
        <w:t xml:space="preserve">$143.66 in December 2018. The last time NVIDIA’s stock was at this price point was in May of 2017, 19 months earlier. By the conclusion of the selected historical period in March of 2019, the </w:t>
      </w:r>
      <w:r w:rsidR="005523C0">
        <w:rPr>
          <w:rFonts w:ascii="Cambria" w:hAnsi="Cambria"/>
        </w:rPr>
        <w:t>ACP</w:t>
      </w:r>
      <w:r w:rsidR="00150F1E">
        <w:rPr>
          <w:rFonts w:ascii="Cambria" w:hAnsi="Cambria"/>
        </w:rPr>
        <w:t xml:space="preserve"> was $164.37, which is $66.37 less than the </w:t>
      </w:r>
      <w:r w:rsidR="005523C0">
        <w:rPr>
          <w:rFonts w:ascii="Cambria" w:hAnsi="Cambria"/>
        </w:rPr>
        <w:t>ACP</w:t>
      </w:r>
      <w:r w:rsidR="00150F1E">
        <w:rPr>
          <w:rFonts w:ascii="Cambria" w:hAnsi="Cambria"/>
        </w:rPr>
        <w:t xml:space="preserve"> </w:t>
      </w:r>
      <w:r w:rsidR="00DC6D76">
        <w:rPr>
          <w:rFonts w:ascii="Cambria" w:hAnsi="Cambria"/>
        </w:rPr>
        <w:t>one year prior.</w:t>
      </w:r>
      <w:r w:rsidR="00746223">
        <w:rPr>
          <w:rFonts w:ascii="Cambria" w:hAnsi="Cambria"/>
        </w:rPr>
        <w:t xml:space="preserve"> The next highest losses are attributed to Apple, who fell from $222.07 in September 2018 to </w:t>
      </w:r>
      <w:r w:rsidR="002F6AEB">
        <w:rPr>
          <w:rFonts w:ascii="Cambria" w:hAnsi="Cambria"/>
        </w:rPr>
        <w:t xml:space="preserve">$154.17 in January 2019. However, unlike NVIDIA, Apple was able to recover to $181.66 by March 2019, which is $12.82 higher than the $168.84 from year one earlier. Similarly, Intel and Qualcomm were able to recover from the market </w:t>
      </w:r>
      <w:r w:rsidR="00EE0F88">
        <w:rPr>
          <w:rFonts w:ascii="Cambria" w:hAnsi="Cambria"/>
        </w:rPr>
        <w:t xml:space="preserve">crash in September and ended with slightly higher </w:t>
      </w:r>
      <w:r w:rsidR="005523C0">
        <w:rPr>
          <w:rFonts w:ascii="Cambria" w:hAnsi="Cambria"/>
        </w:rPr>
        <w:t>monthly ACPs</w:t>
      </w:r>
      <w:r w:rsidR="00EE0F88">
        <w:rPr>
          <w:rFonts w:ascii="Cambria" w:hAnsi="Cambria"/>
        </w:rPr>
        <w:t xml:space="preserve"> in March 2019 than they began the selected period with in March 2018. Finally, AMD was able to not only recover from the crash, but to end the selected period at more than double the initial price. In March 2018, the </w:t>
      </w:r>
      <w:r w:rsidR="005523C0">
        <w:rPr>
          <w:rFonts w:ascii="Cambria" w:hAnsi="Cambria"/>
        </w:rPr>
        <w:t>ACP</w:t>
      </w:r>
      <w:r w:rsidR="00EE0F88">
        <w:rPr>
          <w:rFonts w:ascii="Cambria" w:hAnsi="Cambria"/>
        </w:rPr>
        <w:t xml:space="preserve"> for AMD was $10.08; in September 2018, the </w:t>
      </w:r>
      <w:r w:rsidR="005523C0">
        <w:rPr>
          <w:rFonts w:ascii="Cambria" w:hAnsi="Cambria"/>
        </w:rPr>
        <w:t xml:space="preserve">ACP </w:t>
      </w:r>
      <w:r w:rsidR="00EE0F88">
        <w:rPr>
          <w:rFonts w:ascii="Cambria" w:hAnsi="Cambria"/>
        </w:rPr>
        <w:t xml:space="preserve">was $30.83; and in March 2019, the </w:t>
      </w:r>
      <w:r w:rsidR="005523C0">
        <w:rPr>
          <w:rFonts w:ascii="Cambria" w:hAnsi="Cambria"/>
        </w:rPr>
        <w:t xml:space="preserve">ACP </w:t>
      </w:r>
      <w:r w:rsidR="00EE0F88">
        <w:rPr>
          <w:rFonts w:ascii="Cambria" w:hAnsi="Cambria"/>
        </w:rPr>
        <w:t>was $23.89.</w:t>
      </w:r>
    </w:p>
    <w:p w:rsidR="005523C0" w:rsidRPr="002B7C54" w:rsidRDefault="005523C0" w:rsidP="00E76C36">
      <w:pPr>
        <w:spacing w:line="360" w:lineRule="auto"/>
        <w:rPr>
          <w:rFonts w:ascii="Cambria" w:hAnsi="Cambria"/>
          <w:color w:val="9A0000"/>
        </w:rPr>
      </w:pPr>
      <w:r>
        <w:rPr>
          <w:rFonts w:ascii="Cambria" w:hAnsi="Cambria"/>
        </w:rPr>
        <w:lastRenderedPageBreak/>
        <w:tab/>
      </w:r>
      <w:r w:rsidR="00A564D5">
        <w:rPr>
          <w:rFonts w:ascii="Cambria" w:hAnsi="Cambria"/>
        </w:rPr>
        <w:t>Knowledgeable</w:t>
      </w:r>
      <w:r>
        <w:rPr>
          <w:rFonts w:ascii="Cambria" w:hAnsi="Cambria"/>
        </w:rPr>
        <w:t xml:space="preserve"> investor</w:t>
      </w:r>
      <w:r w:rsidR="00A564D5">
        <w:rPr>
          <w:rFonts w:ascii="Cambria" w:hAnsi="Cambria"/>
        </w:rPr>
        <w:t>s who were conscientious of the political climate and the impending market changes</w:t>
      </w:r>
      <w:r>
        <w:rPr>
          <w:rFonts w:ascii="Cambria" w:hAnsi="Cambria"/>
        </w:rPr>
        <w:t xml:space="preserve"> likely would have pulled out sooner than later after the crash in </w:t>
      </w:r>
      <w:r w:rsidR="00A564D5">
        <w:rPr>
          <w:rFonts w:ascii="Cambria" w:hAnsi="Cambria"/>
        </w:rPr>
        <w:t xml:space="preserve">September, </w:t>
      </w:r>
      <w:r>
        <w:rPr>
          <w:rFonts w:ascii="Cambria" w:hAnsi="Cambria"/>
        </w:rPr>
        <w:t>and</w:t>
      </w:r>
      <w:r w:rsidR="00A564D5">
        <w:rPr>
          <w:rFonts w:ascii="Cambria" w:hAnsi="Cambria"/>
        </w:rPr>
        <w:t xml:space="preserve"> they</w:t>
      </w:r>
      <w:r>
        <w:rPr>
          <w:rFonts w:ascii="Cambria" w:hAnsi="Cambria"/>
        </w:rPr>
        <w:t xml:space="preserve"> still </w:t>
      </w:r>
      <w:r w:rsidR="00A564D5">
        <w:rPr>
          <w:rFonts w:ascii="Cambria" w:hAnsi="Cambria"/>
        </w:rPr>
        <w:t xml:space="preserve">would </w:t>
      </w:r>
      <w:r>
        <w:rPr>
          <w:rFonts w:ascii="Cambria" w:hAnsi="Cambria"/>
        </w:rPr>
        <w:t xml:space="preserve">have been slightly better off than they began or </w:t>
      </w:r>
      <w:r w:rsidR="00A564D5">
        <w:rPr>
          <w:rFonts w:ascii="Cambria" w:hAnsi="Cambria"/>
        </w:rPr>
        <w:t xml:space="preserve">would have </w:t>
      </w:r>
      <w:r>
        <w:rPr>
          <w:rFonts w:ascii="Cambria" w:hAnsi="Cambria"/>
        </w:rPr>
        <w:t>suffered</w:t>
      </w:r>
      <w:r w:rsidR="00A564D5">
        <w:rPr>
          <w:rFonts w:ascii="Cambria" w:hAnsi="Cambria"/>
        </w:rPr>
        <w:t xml:space="preserve"> only</w:t>
      </w:r>
      <w:r>
        <w:rPr>
          <w:rFonts w:ascii="Cambria" w:hAnsi="Cambria"/>
        </w:rPr>
        <w:t xml:space="preserve"> minor losses</w:t>
      </w:r>
      <w:r w:rsidR="00A564D5">
        <w:rPr>
          <w:rFonts w:ascii="Cambria" w:hAnsi="Cambria"/>
        </w:rPr>
        <w:t>. However, there are many investors who tried to weather the storm without any idea of how bad the loss</w:t>
      </w:r>
      <w:r w:rsidR="005B0E4C">
        <w:rPr>
          <w:rFonts w:ascii="Cambria" w:hAnsi="Cambria"/>
        </w:rPr>
        <w:t xml:space="preserve">es could get. For the purposes of simplicity and versatility in this project, an assumption is made that a diversified selection of stocks in the technology sector were purchased in a package and held onto for one year regardless of short-term fluctuations and individual stock performance. </w:t>
      </w:r>
      <w:r w:rsidR="00611A87">
        <w:rPr>
          <w:rFonts w:ascii="Cambria" w:hAnsi="Cambria"/>
        </w:rPr>
        <w:t xml:space="preserve">The table below represents a simplification of </w:t>
      </w:r>
      <w:r w:rsidR="00793C4B">
        <w:rPr>
          <w:rFonts w:ascii="Cambria" w:hAnsi="Cambria"/>
        </w:rPr>
        <w:t>the core elements of this portfolio: the purchase price (opening price on the first day of the period), the sell price (closing price on the last day of the period), and the return on interest (the sell price divided by the purchase price).</w:t>
      </w:r>
    </w:p>
    <w:p w:rsidR="00C66FB8" w:rsidRPr="00E76C36" w:rsidRDefault="00C66FB8" w:rsidP="00E76C36">
      <w:pPr>
        <w:spacing w:line="360" w:lineRule="auto"/>
        <w:ind w:firstLine="720"/>
        <w:rPr>
          <w:rFonts w:ascii="Cambria" w:hAnsi="Cambria"/>
        </w:rPr>
      </w:pPr>
    </w:p>
    <w:tbl>
      <w:tblPr>
        <w:tblStyle w:val="GridTable4-Accent5"/>
        <w:tblW w:w="0" w:type="auto"/>
        <w:tblInd w:w="511" w:type="dxa"/>
        <w:tblLayout w:type="fixed"/>
        <w:tblCellMar>
          <w:top w:w="115" w:type="dxa"/>
          <w:left w:w="115" w:type="dxa"/>
          <w:right w:w="115" w:type="dxa"/>
        </w:tblCellMar>
        <w:tblLook w:val="04A0" w:firstRow="1" w:lastRow="0" w:firstColumn="1" w:lastColumn="0" w:noHBand="0" w:noVBand="1"/>
      </w:tblPr>
      <w:tblGrid>
        <w:gridCol w:w="2207"/>
        <w:gridCol w:w="1170"/>
        <w:gridCol w:w="1890"/>
        <w:gridCol w:w="1867"/>
        <w:gridCol w:w="1193"/>
      </w:tblGrid>
      <w:tr w:rsidR="00904A73" w:rsidRPr="00E76C36" w:rsidTr="00C159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904A73" w:rsidRPr="00E76C36" w:rsidRDefault="006E776D" w:rsidP="00E76C36">
            <w:pPr>
              <w:spacing w:line="360" w:lineRule="auto"/>
              <w:jc w:val="center"/>
              <w:rPr>
                <w:rFonts w:ascii="Cambria" w:hAnsi="Cambria"/>
              </w:rPr>
            </w:pPr>
            <w:r>
              <w:rPr>
                <w:rFonts w:ascii="Cambria" w:hAnsi="Cambria"/>
              </w:rPr>
              <w:t>Company</w:t>
            </w:r>
            <w:r w:rsidR="00904A73" w:rsidRPr="00E76C36">
              <w:rPr>
                <w:rFonts w:ascii="Cambria" w:hAnsi="Cambria"/>
              </w:rPr>
              <w:t xml:space="preserve"> Name</w:t>
            </w:r>
          </w:p>
        </w:tc>
        <w:tc>
          <w:tcPr>
            <w:tcW w:w="1170" w:type="dxa"/>
            <w:vAlign w:val="center"/>
          </w:tcPr>
          <w:p w:rsidR="00904A73" w:rsidRPr="00E76C36" w:rsidRDefault="00904A73" w:rsidP="00E76C36">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w:hAnsi="Cambria"/>
              </w:rPr>
            </w:pPr>
            <w:r w:rsidRPr="00E76C36">
              <w:rPr>
                <w:rFonts w:ascii="Cambria" w:hAnsi="Cambria"/>
              </w:rPr>
              <w:t>Symbol</w:t>
            </w:r>
          </w:p>
        </w:tc>
        <w:tc>
          <w:tcPr>
            <w:tcW w:w="1890" w:type="dxa"/>
            <w:vAlign w:val="center"/>
          </w:tcPr>
          <w:p w:rsidR="00904A73" w:rsidRPr="00E76C36" w:rsidRDefault="006E776D" w:rsidP="00E76C36">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Purchase</w:t>
            </w:r>
            <w:r w:rsidR="00904A73" w:rsidRPr="00E76C36">
              <w:rPr>
                <w:rFonts w:ascii="Cambria" w:hAnsi="Cambria"/>
              </w:rPr>
              <w:t xml:space="preserve"> Price</w:t>
            </w:r>
          </w:p>
          <w:p w:rsidR="00904A73" w:rsidRPr="00E76C36" w:rsidRDefault="00904A73" w:rsidP="006E776D">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w:hAnsi="Cambria"/>
              </w:rPr>
            </w:pPr>
            <w:r w:rsidRPr="00E76C36">
              <w:rPr>
                <w:rFonts w:ascii="Cambria" w:hAnsi="Cambria"/>
              </w:rPr>
              <w:t>(</w:t>
            </w:r>
            <w:r w:rsidR="006E776D">
              <w:rPr>
                <w:rFonts w:ascii="Cambria" w:hAnsi="Cambria"/>
              </w:rPr>
              <w:t>03</w:t>
            </w:r>
            <w:r w:rsidRPr="00E76C36">
              <w:rPr>
                <w:rFonts w:ascii="Cambria" w:hAnsi="Cambria"/>
              </w:rPr>
              <w:t>/</w:t>
            </w:r>
            <w:r w:rsidR="006E776D">
              <w:rPr>
                <w:rFonts w:ascii="Cambria" w:hAnsi="Cambria"/>
              </w:rPr>
              <w:t>26</w:t>
            </w:r>
            <w:r w:rsidRPr="00E76C36">
              <w:rPr>
                <w:rFonts w:ascii="Cambria" w:hAnsi="Cambria"/>
              </w:rPr>
              <w:t>/201</w:t>
            </w:r>
            <w:r w:rsidR="006E776D">
              <w:rPr>
                <w:rFonts w:ascii="Cambria" w:hAnsi="Cambria"/>
              </w:rPr>
              <w:t>8</w:t>
            </w:r>
            <w:r w:rsidRPr="00E76C36">
              <w:rPr>
                <w:rFonts w:ascii="Cambria" w:hAnsi="Cambria"/>
              </w:rPr>
              <w:t>)</w:t>
            </w:r>
          </w:p>
        </w:tc>
        <w:tc>
          <w:tcPr>
            <w:tcW w:w="1867" w:type="dxa"/>
            <w:vAlign w:val="center"/>
          </w:tcPr>
          <w:p w:rsidR="00904A73" w:rsidRPr="00E76C36" w:rsidRDefault="006E776D" w:rsidP="00E76C36">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Sell</w:t>
            </w:r>
            <w:r w:rsidR="00904A73" w:rsidRPr="00E76C36">
              <w:rPr>
                <w:rFonts w:ascii="Cambria" w:hAnsi="Cambria"/>
              </w:rPr>
              <w:t xml:space="preserve"> Price</w:t>
            </w:r>
          </w:p>
          <w:p w:rsidR="00904A73" w:rsidRPr="00E76C36" w:rsidRDefault="00904A73" w:rsidP="006E776D">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w:hAnsi="Cambria"/>
              </w:rPr>
            </w:pPr>
            <w:r w:rsidRPr="00E76C36">
              <w:rPr>
                <w:rFonts w:ascii="Cambria" w:hAnsi="Cambria"/>
              </w:rPr>
              <w:t>(</w:t>
            </w:r>
            <w:r w:rsidR="006E776D">
              <w:rPr>
                <w:rFonts w:ascii="Cambria" w:hAnsi="Cambria"/>
              </w:rPr>
              <w:t>03</w:t>
            </w:r>
            <w:r w:rsidRPr="00E76C36">
              <w:rPr>
                <w:rFonts w:ascii="Cambria" w:hAnsi="Cambria"/>
              </w:rPr>
              <w:t>/</w:t>
            </w:r>
            <w:r w:rsidR="006E776D">
              <w:rPr>
                <w:rFonts w:ascii="Cambria" w:hAnsi="Cambria"/>
              </w:rPr>
              <w:t>22</w:t>
            </w:r>
            <w:r w:rsidRPr="00E76C36">
              <w:rPr>
                <w:rFonts w:ascii="Cambria" w:hAnsi="Cambria"/>
              </w:rPr>
              <w:t>/201</w:t>
            </w:r>
            <w:r w:rsidR="006E776D">
              <w:rPr>
                <w:rFonts w:ascii="Cambria" w:hAnsi="Cambria"/>
              </w:rPr>
              <w:t>9</w:t>
            </w:r>
            <w:r w:rsidRPr="00E76C36">
              <w:rPr>
                <w:rFonts w:ascii="Cambria" w:hAnsi="Cambria"/>
              </w:rPr>
              <w:t>)</w:t>
            </w:r>
          </w:p>
        </w:tc>
        <w:tc>
          <w:tcPr>
            <w:tcW w:w="1193" w:type="dxa"/>
            <w:vAlign w:val="center"/>
          </w:tcPr>
          <w:p w:rsidR="00904A73" w:rsidRPr="00E76C36" w:rsidRDefault="00904A73" w:rsidP="00E76C36">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w:hAnsi="Cambria"/>
              </w:rPr>
            </w:pPr>
            <w:r w:rsidRPr="00E76C36">
              <w:rPr>
                <w:rFonts w:ascii="Cambria" w:hAnsi="Cambria"/>
              </w:rPr>
              <w:t>ROI (%)</w:t>
            </w:r>
          </w:p>
        </w:tc>
      </w:tr>
      <w:tr w:rsidR="006E776D" w:rsidRPr="00E76C36" w:rsidTr="00C159A2">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207" w:type="dxa"/>
            <w:vAlign w:val="center"/>
          </w:tcPr>
          <w:p w:rsidR="006E776D" w:rsidRPr="00E76C36" w:rsidRDefault="006E776D" w:rsidP="00C159A2">
            <w:pPr>
              <w:spacing w:line="360" w:lineRule="auto"/>
              <w:jc w:val="center"/>
              <w:rPr>
                <w:rFonts w:ascii="Cambria" w:hAnsi="Cambria"/>
              </w:rPr>
            </w:pPr>
            <w:r>
              <w:rPr>
                <w:rFonts w:ascii="Cambria" w:hAnsi="Cambria"/>
              </w:rPr>
              <w:t>Apple Inc.</w:t>
            </w:r>
          </w:p>
        </w:tc>
        <w:tc>
          <w:tcPr>
            <w:tcW w:w="1170" w:type="dxa"/>
            <w:vAlign w:val="center"/>
          </w:tcPr>
          <w:p w:rsidR="006E776D" w:rsidRPr="00E76C36" w:rsidRDefault="006E776D" w:rsidP="00C159A2">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AAPL</w:t>
            </w:r>
          </w:p>
        </w:tc>
        <w:tc>
          <w:tcPr>
            <w:tcW w:w="1890" w:type="dxa"/>
            <w:vAlign w:val="center"/>
          </w:tcPr>
          <w:p w:rsidR="006E776D" w:rsidRPr="00E76C36" w:rsidRDefault="006E776D" w:rsidP="00C159A2">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E76C36">
              <w:rPr>
                <w:rFonts w:ascii="Cambria" w:hAnsi="Cambria"/>
              </w:rPr>
              <w:t>$</w:t>
            </w:r>
            <w:r>
              <w:rPr>
                <w:rFonts w:ascii="Cambria" w:hAnsi="Cambria"/>
              </w:rPr>
              <w:t>168.07</w:t>
            </w:r>
          </w:p>
        </w:tc>
        <w:tc>
          <w:tcPr>
            <w:tcW w:w="1867" w:type="dxa"/>
            <w:vAlign w:val="center"/>
          </w:tcPr>
          <w:p w:rsidR="006E776D" w:rsidRPr="00E76C36" w:rsidRDefault="006E776D" w:rsidP="00C159A2">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E76C36">
              <w:rPr>
                <w:rFonts w:ascii="Cambria" w:hAnsi="Cambria"/>
              </w:rPr>
              <w:t>$</w:t>
            </w:r>
            <w:r>
              <w:rPr>
                <w:rFonts w:ascii="Cambria" w:hAnsi="Cambria"/>
              </w:rPr>
              <w:t>191.05</w:t>
            </w:r>
          </w:p>
        </w:tc>
        <w:tc>
          <w:tcPr>
            <w:tcW w:w="1193" w:type="dxa"/>
            <w:vAlign w:val="center"/>
          </w:tcPr>
          <w:p w:rsidR="006E776D" w:rsidRPr="00E76C36" w:rsidRDefault="006E776D" w:rsidP="00C159A2">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color w:val="006600"/>
              </w:rPr>
              <w:t>13.67</w:t>
            </w:r>
            <w:r w:rsidRPr="00E76C36">
              <w:rPr>
                <w:rFonts w:ascii="Cambria" w:hAnsi="Cambria"/>
                <w:color w:val="006600"/>
              </w:rPr>
              <w:t>%</w:t>
            </w:r>
          </w:p>
        </w:tc>
      </w:tr>
      <w:tr w:rsidR="006E776D" w:rsidRPr="00E76C36" w:rsidTr="00C159A2">
        <w:trPr>
          <w:trHeight w:val="346"/>
        </w:trPr>
        <w:tc>
          <w:tcPr>
            <w:cnfStyle w:val="001000000000" w:firstRow="0" w:lastRow="0" w:firstColumn="1" w:lastColumn="0" w:oddVBand="0" w:evenVBand="0" w:oddHBand="0" w:evenHBand="0" w:firstRowFirstColumn="0" w:firstRowLastColumn="0" w:lastRowFirstColumn="0" w:lastRowLastColumn="0"/>
            <w:tcW w:w="2207" w:type="dxa"/>
            <w:vAlign w:val="center"/>
          </w:tcPr>
          <w:p w:rsidR="006E776D" w:rsidRPr="00E76C36" w:rsidRDefault="006E776D" w:rsidP="00C159A2">
            <w:pPr>
              <w:spacing w:line="360" w:lineRule="auto"/>
              <w:jc w:val="center"/>
              <w:rPr>
                <w:rFonts w:ascii="Cambria" w:hAnsi="Cambria"/>
              </w:rPr>
            </w:pPr>
            <w:r>
              <w:rPr>
                <w:rFonts w:ascii="Cambria" w:hAnsi="Cambria"/>
              </w:rPr>
              <w:t>Advanced Micro Devices, Inc.</w:t>
            </w:r>
          </w:p>
        </w:tc>
        <w:tc>
          <w:tcPr>
            <w:tcW w:w="1170" w:type="dxa"/>
            <w:vAlign w:val="center"/>
          </w:tcPr>
          <w:p w:rsidR="006E776D" w:rsidRPr="00E76C36" w:rsidRDefault="006E776D" w:rsidP="00C159A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AMD</w:t>
            </w:r>
          </w:p>
        </w:tc>
        <w:tc>
          <w:tcPr>
            <w:tcW w:w="1890" w:type="dxa"/>
            <w:vAlign w:val="center"/>
          </w:tcPr>
          <w:p w:rsidR="006E776D" w:rsidRPr="00E76C36" w:rsidRDefault="006E776D" w:rsidP="00C159A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E76C36">
              <w:rPr>
                <w:rFonts w:ascii="Cambria" w:hAnsi="Cambria"/>
              </w:rPr>
              <w:t>$</w:t>
            </w:r>
            <w:r>
              <w:rPr>
                <w:rFonts w:ascii="Cambria" w:hAnsi="Cambria"/>
              </w:rPr>
              <w:t>10.71</w:t>
            </w:r>
          </w:p>
        </w:tc>
        <w:tc>
          <w:tcPr>
            <w:tcW w:w="1867" w:type="dxa"/>
            <w:vAlign w:val="center"/>
          </w:tcPr>
          <w:p w:rsidR="006E776D" w:rsidRPr="00E76C36" w:rsidRDefault="006E776D" w:rsidP="00C159A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E76C36">
              <w:rPr>
                <w:rFonts w:ascii="Cambria" w:hAnsi="Cambria"/>
              </w:rPr>
              <w:t>$</w:t>
            </w:r>
            <w:r>
              <w:rPr>
                <w:rFonts w:ascii="Cambria" w:hAnsi="Cambria"/>
              </w:rPr>
              <w:t>26.37</w:t>
            </w:r>
          </w:p>
        </w:tc>
        <w:tc>
          <w:tcPr>
            <w:tcW w:w="1193" w:type="dxa"/>
            <w:vAlign w:val="center"/>
          </w:tcPr>
          <w:p w:rsidR="006E776D" w:rsidRPr="00E76C36" w:rsidRDefault="006E776D" w:rsidP="00C159A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6E776D">
              <w:rPr>
                <w:rFonts w:ascii="Cambria" w:hAnsi="Cambria"/>
                <w:color w:val="006600"/>
              </w:rPr>
              <w:t>146.22%</w:t>
            </w:r>
          </w:p>
        </w:tc>
      </w:tr>
      <w:tr w:rsidR="006E776D" w:rsidRPr="00E76C36" w:rsidTr="00C159A2">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207" w:type="dxa"/>
            <w:vAlign w:val="center"/>
          </w:tcPr>
          <w:p w:rsidR="006E776D" w:rsidRPr="00E76C36" w:rsidRDefault="006E776D" w:rsidP="00C159A2">
            <w:pPr>
              <w:spacing w:line="360" w:lineRule="auto"/>
              <w:jc w:val="center"/>
              <w:rPr>
                <w:rFonts w:ascii="Cambria" w:hAnsi="Cambria"/>
              </w:rPr>
            </w:pPr>
            <w:r>
              <w:rPr>
                <w:rFonts w:ascii="Cambria" w:hAnsi="Cambria"/>
              </w:rPr>
              <w:t>Intel Corporation</w:t>
            </w:r>
          </w:p>
        </w:tc>
        <w:tc>
          <w:tcPr>
            <w:tcW w:w="1170" w:type="dxa"/>
            <w:vAlign w:val="center"/>
          </w:tcPr>
          <w:p w:rsidR="006E776D" w:rsidRPr="00E76C36" w:rsidRDefault="006E776D" w:rsidP="00C159A2">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INTC</w:t>
            </w:r>
          </w:p>
        </w:tc>
        <w:tc>
          <w:tcPr>
            <w:tcW w:w="1890" w:type="dxa"/>
            <w:vAlign w:val="center"/>
          </w:tcPr>
          <w:p w:rsidR="006E776D" w:rsidRPr="00E76C36" w:rsidRDefault="006E776D" w:rsidP="00C159A2">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E76C36">
              <w:rPr>
                <w:rFonts w:ascii="Cambria" w:hAnsi="Cambria"/>
              </w:rPr>
              <w:t>$</w:t>
            </w:r>
            <w:r>
              <w:rPr>
                <w:rFonts w:ascii="Cambria" w:hAnsi="Cambria"/>
              </w:rPr>
              <w:t>50.74</w:t>
            </w:r>
          </w:p>
        </w:tc>
        <w:tc>
          <w:tcPr>
            <w:tcW w:w="1867" w:type="dxa"/>
            <w:vAlign w:val="center"/>
          </w:tcPr>
          <w:p w:rsidR="006E776D" w:rsidRPr="00E76C36" w:rsidRDefault="006E776D" w:rsidP="00C159A2">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E76C36">
              <w:rPr>
                <w:rFonts w:ascii="Cambria" w:hAnsi="Cambria"/>
              </w:rPr>
              <w:t>$</w:t>
            </w:r>
            <w:r>
              <w:rPr>
                <w:rFonts w:ascii="Cambria" w:hAnsi="Cambria"/>
              </w:rPr>
              <w:t>53.26</w:t>
            </w:r>
          </w:p>
        </w:tc>
        <w:tc>
          <w:tcPr>
            <w:tcW w:w="1193" w:type="dxa"/>
            <w:vAlign w:val="center"/>
          </w:tcPr>
          <w:p w:rsidR="006E776D" w:rsidRPr="00E76C36" w:rsidRDefault="006E776D" w:rsidP="00C159A2">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color w:val="006600"/>
              </w:rPr>
              <w:t>4.97</w:t>
            </w:r>
            <w:r w:rsidRPr="00E76C36">
              <w:rPr>
                <w:rFonts w:ascii="Cambria" w:hAnsi="Cambria"/>
                <w:color w:val="006600"/>
              </w:rPr>
              <w:t>%</w:t>
            </w:r>
          </w:p>
        </w:tc>
      </w:tr>
      <w:tr w:rsidR="006E776D" w:rsidRPr="00E76C36" w:rsidTr="00C159A2">
        <w:trPr>
          <w:trHeight w:val="346"/>
        </w:trPr>
        <w:tc>
          <w:tcPr>
            <w:cnfStyle w:val="001000000000" w:firstRow="0" w:lastRow="0" w:firstColumn="1" w:lastColumn="0" w:oddVBand="0" w:evenVBand="0" w:oddHBand="0" w:evenHBand="0" w:firstRowFirstColumn="0" w:firstRowLastColumn="0" w:lastRowFirstColumn="0" w:lastRowLastColumn="0"/>
            <w:tcW w:w="2207" w:type="dxa"/>
            <w:vAlign w:val="center"/>
          </w:tcPr>
          <w:p w:rsidR="006E776D" w:rsidRPr="00E76C36" w:rsidRDefault="006E776D" w:rsidP="00C159A2">
            <w:pPr>
              <w:spacing w:line="360" w:lineRule="auto"/>
              <w:jc w:val="center"/>
              <w:rPr>
                <w:rFonts w:ascii="Cambria" w:hAnsi="Cambria"/>
              </w:rPr>
            </w:pPr>
            <w:r>
              <w:rPr>
                <w:rFonts w:ascii="Cambria" w:hAnsi="Cambria"/>
              </w:rPr>
              <w:t>NVIDIA Corporation</w:t>
            </w:r>
          </w:p>
        </w:tc>
        <w:tc>
          <w:tcPr>
            <w:tcW w:w="1170" w:type="dxa"/>
            <w:vAlign w:val="center"/>
          </w:tcPr>
          <w:p w:rsidR="006E776D" w:rsidRPr="00E76C36" w:rsidRDefault="006E776D" w:rsidP="00C159A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NVDA</w:t>
            </w:r>
          </w:p>
        </w:tc>
        <w:tc>
          <w:tcPr>
            <w:tcW w:w="1890" w:type="dxa"/>
            <w:vAlign w:val="center"/>
          </w:tcPr>
          <w:p w:rsidR="006E776D" w:rsidRPr="00E76C36" w:rsidRDefault="006E776D" w:rsidP="00C159A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E76C36">
              <w:rPr>
                <w:rFonts w:ascii="Cambria" w:hAnsi="Cambria"/>
              </w:rPr>
              <w:t>$</w:t>
            </w:r>
            <w:r>
              <w:rPr>
                <w:rFonts w:ascii="Cambria" w:hAnsi="Cambria"/>
              </w:rPr>
              <w:t>238.00</w:t>
            </w:r>
          </w:p>
        </w:tc>
        <w:tc>
          <w:tcPr>
            <w:tcW w:w="1867" w:type="dxa"/>
            <w:vAlign w:val="center"/>
          </w:tcPr>
          <w:p w:rsidR="006E776D" w:rsidRPr="00E76C36" w:rsidRDefault="006E776D" w:rsidP="00C159A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E76C36">
              <w:rPr>
                <w:rFonts w:ascii="Cambria" w:hAnsi="Cambria"/>
              </w:rPr>
              <w:t>$</w:t>
            </w:r>
            <w:r>
              <w:rPr>
                <w:rFonts w:ascii="Cambria" w:hAnsi="Cambria"/>
              </w:rPr>
              <w:t>177.50</w:t>
            </w:r>
          </w:p>
        </w:tc>
        <w:tc>
          <w:tcPr>
            <w:tcW w:w="1193" w:type="dxa"/>
            <w:vAlign w:val="center"/>
          </w:tcPr>
          <w:p w:rsidR="006E776D" w:rsidRPr="00E76C36" w:rsidRDefault="006E776D" w:rsidP="00C159A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6E776D">
              <w:rPr>
                <w:rFonts w:ascii="Cambria" w:hAnsi="Cambria"/>
                <w:color w:val="800000"/>
              </w:rPr>
              <w:t>-25.42%</w:t>
            </w:r>
          </w:p>
        </w:tc>
      </w:tr>
      <w:tr w:rsidR="006E776D" w:rsidRPr="00E76C36" w:rsidTr="00C159A2">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207" w:type="dxa"/>
            <w:vAlign w:val="center"/>
          </w:tcPr>
          <w:p w:rsidR="006E776D" w:rsidRPr="00E76C36" w:rsidRDefault="006E776D" w:rsidP="00C159A2">
            <w:pPr>
              <w:spacing w:line="360" w:lineRule="auto"/>
              <w:jc w:val="center"/>
              <w:rPr>
                <w:rFonts w:ascii="Cambria" w:hAnsi="Cambria"/>
              </w:rPr>
            </w:pPr>
            <w:r>
              <w:rPr>
                <w:rFonts w:ascii="Cambria" w:hAnsi="Cambria"/>
              </w:rPr>
              <w:t>QUALCOMM Incorporated</w:t>
            </w:r>
          </w:p>
        </w:tc>
        <w:tc>
          <w:tcPr>
            <w:tcW w:w="1170" w:type="dxa"/>
            <w:vAlign w:val="center"/>
          </w:tcPr>
          <w:p w:rsidR="006E776D" w:rsidRPr="00E76C36" w:rsidRDefault="006E776D" w:rsidP="00C159A2">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QCOM</w:t>
            </w:r>
          </w:p>
        </w:tc>
        <w:tc>
          <w:tcPr>
            <w:tcW w:w="1890" w:type="dxa"/>
            <w:vAlign w:val="center"/>
          </w:tcPr>
          <w:p w:rsidR="006E776D" w:rsidRPr="00E76C36" w:rsidRDefault="006E776D" w:rsidP="00C159A2">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E76C36">
              <w:rPr>
                <w:rFonts w:ascii="Cambria" w:hAnsi="Cambria"/>
              </w:rPr>
              <w:t>$</w:t>
            </w:r>
            <w:r>
              <w:rPr>
                <w:rFonts w:ascii="Cambria" w:hAnsi="Cambria"/>
              </w:rPr>
              <w:t>54.58</w:t>
            </w:r>
          </w:p>
        </w:tc>
        <w:tc>
          <w:tcPr>
            <w:tcW w:w="1867" w:type="dxa"/>
            <w:vAlign w:val="center"/>
          </w:tcPr>
          <w:p w:rsidR="006E776D" w:rsidRPr="00E76C36" w:rsidRDefault="006E776D" w:rsidP="00C159A2">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E76C36">
              <w:rPr>
                <w:rFonts w:ascii="Cambria" w:hAnsi="Cambria"/>
              </w:rPr>
              <w:t>$</w:t>
            </w:r>
            <w:r>
              <w:rPr>
                <w:rFonts w:ascii="Cambria" w:hAnsi="Cambria"/>
              </w:rPr>
              <w:t>56.82</w:t>
            </w:r>
          </w:p>
        </w:tc>
        <w:tc>
          <w:tcPr>
            <w:tcW w:w="1193" w:type="dxa"/>
            <w:vAlign w:val="center"/>
          </w:tcPr>
          <w:p w:rsidR="006E776D" w:rsidRPr="00E76C36" w:rsidRDefault="006E776D" w:rsidP="00C159A2">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6E776D">
              <w:rPr>
                <w:rFonts w:ascii="Cambria" w:hAnsi="Cambria"/>
                <w:color w:val="006600"/>
              </w:rPr>
              <w:t>4.10%</w:t>
            </w:r>
          </w:p>
        </w:tc>
      </w:tr>
    </w:tbl>
    <w:p w:rsidR="00837654" w:rsidRPr="00E76C36" w:rsidRDefault="00837654" w:rsidP="00E76C36">
      <w:pPr>
        <w:spacing w:line="360" w:lineRule="auto"/>
        <w:rPr>
          <w:rFonts w:ascii="Cambria" w:hAnsi="Cambria"/>
        </w:rPr>
      </w:pPr>
    </w:p>
    <w:p w:rsidR="0066437B" w:rsidRDefault="000E7992" w:rsidP="00E76C36">
      <w:pPr>
        <w:spacing w:line="360" w:lineRule="auto"/>
        <w:rPr>
          <w:rFonts w:ascii="Cambria" w:hAnsi="Cambria"/>
        </w:rPr>
      </w:pPr>
      <w:r w:rsidRPr="00E76C36">
        <w:rPr>
          <w:rFonts w:ascii="Cambria" w:hAnsi="Cambria"/>
        </w:rPr>
        <w:tab/>
      </w:r>
      <w:r w:rsidR="00464CC8">
        <w:rPr>
          <w:rFonts w:ascii="Cambria" w:hAnsi="Cambria"/>
        </w:rPr>
        <w:t xml:space="preserve">While the graph of monthly moving averages discussed above gives a decent representation of how short-term investors would be affected, it does little to show the effects on long-term investors. This chart of ROIs gives a much more easily comprehensible and accurate representation of how each stock performed after one year. </w:t>
      </w:r>
      <w:r w:rsidR="008E532C">
        <w:rPr>
          <w:rFonts w:ascii="Cambria" w:hAnsi="Cambria"/>
        </w:rPr>
        <w:t>Despite the</w:t>
      </w:r>
      <w:r w:rsidR="00464CC8">
        <w:rPr>
          <w:rFonts w:ascii="Cambria" w:hAnsi="Cambria"/>
        </w:rPr>
        <w:t xml:space="preserve"> massive drop NVIDIA faced on the monthly moving averages graph, the overall ROI was only -25.42%</w:t>
      </w:r>
      <w:r w:rsidR="00CB11E1">
        <w:rPr>
          <w:rFonts w:ascii="Cambria" w:hAnsi="Cambria"/>
        </w:rPr>
        <w:t xml:space="preserve">. While this is a significant loss for any investor, it can be balanced out </w:t>
      </w:r>
      <w:r w:rsidR="00CB11E1">
        <w:rPr>
          <w:rFonts w:ascii="Cambria" w:hAnsi="Cambria"/>
        </w:rPr>
        <w:lastRenderedPageBreak/>
        <w:t xml:space="preserve">relatively easily in a diversified portfolio, which will be discussed shortly as I examine 5 different distributions for the portfolio that will demonstrate how little or large of an effect the individual ROIs have on </w:t>
      </w:r>
      <w:r w:rsidR="008E532C">
        <w:rPr>
          <w:rFonts w:ascii="Cambria" w:hAnsi="Cambria"/>
        </w:rPr>
        <w:t xml:space="preserve">the total ROI of the portfolio. Aside from NVIDIA, all of the stocks in the portfolio were able to recover from the market crash and end up slightly better than they started with. Intel and Qualcomm ended with ROIs of +4.97% and +4.10%, respectively, which likely would not be a worthwhile return for any shareholders on their own, but they do serve to marginally offset </w:t>
      </w:r>
      <w:r w:rsidR="0070468E">
        <w:rPr>
          <w:rFonts w:ascii="Cambria" w:hAnsi="Cambria"/>
        </w:rPr>
        <w:t xml:space="preserve">any losses in a portfolio, such as is the case with the NVIDIA losses in this portfolio. Apple was not only able to recover from a loss comparable to that of NVIDIAs (as seen in the graph above), but </w:t>
      </w:r>
      <w:r w:rsidR="007D6CD5">
        <w:rPr>
          <w:rFonts w:ascii="Cambria" w:hAnsi="Cambria"/>
        </w:rPr>
        <w:t xml:space="preserve">it ended with an ROI of +13.67%, which is a worthwhile investment on its own for </w:t>
      </w:r>
      <w:r w:rsidR="00115AF3">
        <w:rPr>
          <w:rFonts w:ascii="Cambria" w:hAnsi="Cambria"/>
        </w:rPr>
        <w:t xml:space="preserve">practically </w:t>
      </w:r>
      <w:r w:rsidR="007D6CD5">
        <w:rPr>
          <w:rFonts w:ascii="Cambria" w:hAnsi="Cambria"/>
        </w:rPr>
        <w:t xml:space="preserve">any investor. Additionally, it holds the second highest return out of the selected stocks in the </w:t>
      </w:r>
      <w:r w:rsidR="00115AF3">
        <w:rPr>
          <w:rFonts w:ascii="Cambria" w:hAnsi="Cambria"/>
        </w:rPr>
        <w:t xml:space="preserve">portfolio. And now finally, let us take the first real look at why AMD was selected as the best stock to invest in out of the entire portfolio. AMD had an absolutely outstanding year of explosive growth starting from a base of $10.71 per share on March 26, 2018; rising to a peak of $34.14 on September 13, 2018; and ending </w:t>
      </w:r>
      <w:r w:rsidR="00705EE7">
        <w:rPr>
          <w:rFonts w:ascii="Cambria" w:hAnsi="Cambria"/>
        </w:rPr>
        <w:t>the period at $26.37 on March 22, 2019.</w:t>
      </w:r>
      <w:r w:rsidR="00EB281D">
        <w:rPr>
          <w:rFonts w:ascii="Cambria" w:hAnsi="Cambria"/>
        </w:rPr>
        <w:t xml:space="preserve"> Even with the losses incurred from September onwards, the final ROI after one year of in</w:t>
      </w:r>
      <w:r w:rsidR="00D912F0">
        <w:rPr>
          <w:rFonts w:ascii="Cambria" w:hAnsi="Cambria"/>
        </w:rPr>
        <w:t>vestment comes out to +146.22%. There is no doubt that AMD is the best choice moving forward based on the historical data, however, knowledgeable investors would never place their investments into a single asset. Some package</w:t>
      </w:r>
      <w:r w:rsidR="001D3FE7">
        <w:rPr>
          <w:rFonts w:ascii="Cambria" w:hAnsi="Cambria"/>
        </w:rPr>
        <w:t xml:space="preserve"> deals like mutual funds and index funds even have restrictions on them that guarantee a level of diversity and risk aversion. </w:t>
      </w:r>
      <w:r w:rsidR="00D912F0">
        <w:rPr>
          <w:rFonts w:ascii="Cambria" w:hAnsi="Cambria"/>
        </w:rPr>
        <w:t>So, let us now take a look at different investment scenarios that could have happened at the start of the period.</w:t>
      </w:r>
    </w:p>
    <w:p w:rsidR="001D3FE7" w:rsidRDefault="001D3FE7" w:rsidP="00E76C36">
      <w:pPr>
        <w:spacing w:line="360" w:lineRule="auto"/>
        <w:rPr>
          <w:rFonts w:ascii="Cambria" w:hAnsi="Cambria"/>
        </w:rPr>
      </w:pPr>
      <w:r>
        <w:rPr>
          <w:rFonts w:ascii="Cambria" w:hAnsi="Cambria"/>
        </w:rPr>
        <w:tab/>
        <w:t xml:space="preserve">In all of the following scenarios, the investment budget is set to $100,000 with an aim of using every possible dollar without going over the limit. Because of the amount of </w:t>
      </w:r>
      <w:r w:rsidR="00921DCB">
        <w:rPr>
          <w:rFonts w:ascii="Cambria" w:hAnsi="Cambria"/>
        </w:rPr>
        <w:t xml:space="preserve">textual and visual </w:t>
      </w:r>
      <w:r>
        <w:rPr>
          <w:rFonts w:ascii="Cambria" w:hAnsi="Cambria"/>
        </w:rPr>
        <w:t>data that is modified with each scenario</w:t>
      </w:r>
      <w:r w:rsidR="00921DCB">
        <w:rPr>
          <w:rFonts w:ascii="Cambria" w:hAnsi="Cambria"/>
        </w:rPr>
        <w:t>, I will not be including figures in this analysis. As such, please follow along in the Portfolio Analysis worksheet by using the Select a Scenario dropdown to cycle between the different distributions.</w:t>
      </w:r>
      <w:r>
        <w:rPr>
          <w:rFonts w:ascii="Cambria" w:hAnsi="Cambria"/>
        </w:rPr>
        <w:t xml:space="preserve"> The first scenario is a manual distribution arbitrarily created based on my previous knowledge of the standings of the companies as well as my preferences for them. </w:t>
      </w:r>
      <w:r w:rsidR="00921DCB">
        <w:rPr>
          <w:rFonts w:ascii="Cambria" w:hAnsi="Cambria"/>
        </w:rPr>
        <w:t xml:space="preserve">The result of this distribution is a meager +5.27% ROI, which demonstrates how the ROIs of the individual </w:t>
      </w:r>
      <w:r w:rsidR="00921DCB">
        <w:rPr>
          <w:rFonts w:ascii="Cambria" w:hAnsi="Cambria"/>
        </w:rPr>
        <w:lastRenderedPageBreak/>
        <w:t>stocks in the portfolio have no practical meaning without analyzing the number of shares and initial amount invested alongside them.</w:t>
      </w:r>
      <w:r w:rsidR="00F42FB3">
        <w:rPr>
          <w:rFonts w:ascii="Cambria" w:hAnsi="Cambria"/>
        </w:rPr>
        <w:t xml:space="preserve"> </w:t>
      </w:r>
    </w:p>
    <w:p w:rsidR="005B3BD2" w:rsidRDefault="00F42FB3" w:rsidP="002D4C54">
      <w:pPr>
        <w:spacing w:line="360" w:lineRule="auto"/>
        <w:rPr>
          <w:rFonts w:ascii="Cambria" w:hAnsi="Cambria"/>
        </w:rPr>
      </w:pPr>
      <w:r>
        <w:rPr>
          <w:rFonts w:ascii="Cambria" w:hAnsi="Cambria"/>
        </w:rPr>
        <w:tab/>
      </w:r>
      <w:r w:rsidR="00111127">
        <w:rPr>
          <w:rFonts w:ascii="Cambria" w:hAnsi="Cambria"/>
        </w:rPr>
        <w:t xml:space="preserve">By using the </w:t>
      </w:r>
      <w:r w:rsidR="000E4BFF">
        <w:rPr>
          <w:rFonts w:ascii="Cambria" w:hAnsi="Cambria"/>
        </w:rPr>
        <w:t>Solver add-on in</w:t>
      </w:r>
      <w:r w:rsidR="000533EC">
        <w:rPr>
          <w:rFonts w:ascii="Cambria" w:hAnsi="Cambria"/>
        </w:rPr>
        <w:t xml:space="preserve"> Excel, I used a combination of constraints to create fo</w:t>
      </w:r>
      <w:r w:rsidR="00041B70">
        <w:rPr>
          <w:rFonts w:ascii="Cambria" w:hAnsi="Cambria"/>
        </w:rPr>
        <w:t>ur related scenarios</w:t>
      </w:r>
      <w:r w:rsidR="005B3BD2">
        <w:rPr>
          <w:rFonts w:ascii="Cambria" w:hAnsi="Cambria"/>
        </w:rPr>
        <w:t xml:space="preserve"> (all with a shared minimum of 50 shares per stock)</w:t>
      </w:r>
      <w:r w:rsidR="00041B70">
        <w:rPr>
          <w:rFonts w:ascii="Cambria" w:hAnsi="Cambria"/>
        </w:rPr>
        <w:t>: maximizing total profit with a limit of $30,000 per stock, maximizing total profit with a limit of 1000 shares per stock, maximizing ROI with a limit of $30,000 per stock, and maximizing ROI with a limit of 1000 shares per stock.</w:t>
      </w:r>
      <w:r w:rsidR="002D4C54">
        <w:rPr>
          <w:rFonts w:ascii="Cambria" w:hAnsi="Cambria"/>
        </w:rPr>
        <w:t xml:space="preserve"> </w:t>
      </w:r>
      <w:r w:rsidR="000817E4">
        <w:rPr>
          <w:rFonts w:ascii="Cambria" w:hAnsi="Cambria"/>
        </w:rPr>
        <w:t>By maximizing total profit by initial amount invested, a total profit of $46,303.62 is made from an initial investment of $99,964.91 resulting in an ROI of +46.32%.</w:t>
      </w:r>
      <w:r w:rsidR="00BE5DB1">
        <w:rPr>
          <w:rFonts w:ascii="Cambria" w:hAnsi="Cambria"/>
        </w:rPr>
        <w:t xml:space="preserve"> AMD composes 78% of the portfolio</w:t>
      </w:r>
      <w:r w:rsidR="00A27D12">
        <w:rPr>
          <w:rFonts w:ascii="Cambria" w:hAnsi="Cambria"/>
        </w:rPr>
        <w:t xml:space="preserve"> by shares, but only 30% by dollars invested. Without the $30,000 limit, </w:t>
      </w:r>
      <w:r w:rsidR="000E4BFF">
        <w:rPr>
          <w:rFonts w:ascii="Cambria" w:hAnsi="Cambria"/>
        </w:rPr>
        <w:t>Solver</w:t>
      </w:r>
      <w:r w:rsidR="00A27D12">
        <w:rPr>
          <w:rFonts w:ascii="Cambria" w:hAnsi="Cambria"/>
        </w:rPr>
        <w:t xml:space="preserve"> would have invested everything into AMD to achieve the maximum possible ROI, which is exactly why I decided to establish this maximum limit.</w:t>
      </w:r>
      <w:r w:rsidR="002D4C54">
        <w:rPr>
          <w:rFonts w:ascii="Cambria" w:hAnsi="Cambria"/>
        </w:rPr>
        <w:t xml:space="preserve"> A constraint of this kind is much more realistic than the next one I will discuss, but it was worth exploring anyways. B</w:t>
      </w:r>
      <w:r w:rsidR="005B3BD2">
        <w:rPr>
          <w:rFonts w:ascii="Cambria" w:hAnsi="Cambria"/>
        </w:rPr>
        <w:t xml:space="preserve">y limiting the shares to 1000 per stock, AMD hits the cap and causes the rest of the </w:t>
      </w:r>
      <w:r w:rsidR="00E87CDB">
        <w:rPr>
          <w:rFonts w:ascii="Cambria" w:hAnsi="Cambria"/>
        </w:rPr>
        <w:t xml:space="preserve">budget to be allocated to Apple. AMD’s percentage of the portfolio by shares only falls from 78% to </w:t>
      </w:r>
      <w:r w:rsidR="008D3909">
        <w:rPr>
          <w:rFonts w:ascii="Cambria" w:hAnsi="Cambria"/>
        </w:rPr>
        <w:t xml:space="preserve">64%, but percentage of the portfolio by dollars invested falls from 30% to 11% and Apple drastically rises from 30% to 72%. The result of this method causes the total profit to drop to $22,731.42 made from an initial investment of $99,978.03 </w:t>
      </w:r>
      <w:r w:rsidR="005B1539">
        <w:rPr>
          <w:rFonts w:ascii="Cambria" w:hAnsi="Cambria"/>
        </w:rPr>
        <w:t>resulting in an ROI of +22.74%.</w:t>
      </w:r>
      <w:r w:rsidR="002D4C54">
        <w:rPr>
          <w:rFonts w:ascii="Cambria" w:hAnsi="Cambria"/>
        </w:rPr>
        <w:t xml:space="preserve"> This analysis provides initial evidence as to why limiting purchase orders by the number of shares is not a viable method as it results in half of the total profit and ROI that come from limiting the amount invested per stock instead.</w:t>
      </w:r>
    </w:p>
    <w:p w:rsidR="00110296" w:rsidRDefault="005B1539" w:rsidP="00BA64E4">
      <w:pPr>
        <w:spacing w:line="360" w:lineRule="auto"/>
        <w:ind w:firstLine="720"/>
        <w:rPr>
          <w:rFonts w:ascii="Cambria" w:hAnsi="Cambria"/>
        </w:rPr>
      </w:pPr>
      <w:r>
        <w:rPr>
          <w:rFonts w:ascii="Cambria" w:hAnsi="Cambria"/>
        </w:rPr>
        <w:t>While maximizing total profit may seem like the most l</w:t>
      </w:r>
      <w:r w:rsidR="00A500B7">
        <w:rPr>
          <w:rFonts w:ascii="Cambria" w:hAnsi="Cambria"/>
        </w:rPr>
        <w:t>ogical way to distribute funds, maximizing the total ROI proves to be significantly better.</w:t>
      </w:r>
      <w:r w:rsidR="008E3ACD">
        <w:rPr>
          <w:rFonts w:ascii="Cambria" w:hAnsi="Cambria"/>
        </w:rPr>
        <w:t xml:space="preserve"> With </w:t>
      </w:r>
      <w:r w:rsidR="0099435D">
        <w:rPr>
          <w:rFonts w:ascii="Cambria" w:hAnsi="Cambria"/>
        </w:rPr>
        <w:t>a</w:t>
      </w:r>
      <w:r w:rsidR="008E3ACD">
        <w:rPr>
          <w:rFonts w:ascii="Cambria" w:hAnsi="Cambria"/>
        </w:rPr>
        <w:t xml:space="preserve"> limit of $30,000 again</w:t>
      </w:r>
      <w:r w:rsidR="0099435D">
        <w:rPr>
          <w:rFonts w:ascii="Cambria" w:hAnsi="Cambria"/>
        </w:rPr>
        <w:t xml:space="preserve">, </w:t>
      </w:r>
      <w:r w:rsidR="000E4BFF">
        <w:rPr>
          <w:rFonts w:ascii="Cambria" w:hAnsi="Cambria"/>
        </w:rPr>
        <w:t>Solver</w:t>
      </w:r>
      <w:r w:rsidR="0099435D">
        <w:rPr>
          <w:rFonts w:ascii="Cambria" w:hAnsi="Cambria"/>
        </w:rPr>
        <w:t xml:space="preserve"> obtains a profit of $42,225.66, which is only approximately $4,000 less than what was obtained in the first </w:t>
      </w:r>
      <w:r w:rsidR="000E4BFF">
        <w:rPr>
          <w:rFonts w:ascii="Cambria" w:hAnsi="Cambria"/>
        </w:rPr>
        <w:t>Solver</w:t>
      </w:r>
      <w:r w:rsidR="0099435D">
        <w:rPr>
          <w:rFonts w:ascii="Cambria" w:hAnsi="Cambria"/>
        </w:rPr>
        <w:t xml:space="preserve"> scenario aimed at maximizing profit instead of ROI; the interesting part about how this differs from the profit maximization scenario is the total amount of dollars invested only uses $55,568.21 out of the $100,000 budget resulting in a total ROI of +75.99%. </w:t>
      </w:r>
      <w:r w:rsidR="00A5764C">
        <w:rPr>
          <w:rFonts w:ascii="Cambria" w:hAnsi="Cambria"/>
        </w:rPr>
        <w:t>This scenario represents just how much profit could be made in the best case scenario, but it is again the ultimate idealized scenario even with the $30,000 constraint as 93% of the portfolio by shares is AMD, which is an extremely risky position to be in and would never occur in managed funds like mutual or index funds.</w:t>
      </w:r>
      <w:r w:rsidR="00BA64E4">
        <w:rPr>
          <w:rFonts w:ascii="Cambria" w:hAnsi="Cambria"/>
        </w:rPr>
        <w:t xml:space="preserve"> The final scenario tries to maximize ROI with the 1000 shares constraint, but it ultimately differs </w:t>
      </w:r>
      <w:r w:rsidR="00BA64E4">
        <w:rPr>
          <w:rFonts w:ascii="Cambria" w:hAnsi="Cambria"/>
        </w:rPr>
        <w:lastRenderedPageBreak/>
        <w:t>very little from the previous scenario. It simply invests the minimum of 50 shares in each of the 4 stocks aside from AMD and the maximum of 1000 shares in AMD for a total of $36,279.50 invested with a profit of $14,022.00 and an ROI of +38.65%. The only insight this scenar</w:t>
      </w:r>
      <w:r w:rsidR="00D23EEC">
        <w:rPr>
          <w:rFonts w:ascii="Cambria" w:hAnsi="Cambria"/>
        </w:rPr>
        <w:t>io provides is confirmation that constraining the distribution by number of shares is not a viable method for lowering risk while maximizing profit or ROI.</w:t>
      </w:r>
    </w:p>
    <w:p w:rsidR="00EB5173" w:rsidRDefault="00541406" w:rsidP="00BA64E4">
      <w:pPr>
        <w:spacing w:line="360" w:lineRule="auto"/>
        <w:ind w:firstLine="720"/>
        <w:rPr>
          <w:rFonts w:ascii="Cambria" w:hAnsi="Cambria"/>
        </w:rPr>
      </w:pPr>
      <w:r>
        <w:rPr>
          <w:rFonts w:ascii="Cambria" w:hAnsi="Cambria"/>
        </w:rPr>
        <w:t>As stated in the outset of this analysis, I have selected AMD as my recommendation for future investment</w:t>
      </w:r>
      <w:r w:rsidR="00343156">
        <w:rPr>
          <w:rFonts w:ascii="Cambria" w:hAnsi="Cambria"/>
        </w:rPr>
        <w:t>. When drafting the basis of this project a few months ago, I had indicated I would include outside research and tie important incidents to the daily changes in the stocks to create a timeline of events that could explain any discrepancies between their performances. After finishing my analysis in Excel and beginning this paper, I decided that was unnecessary and that I would face severe issues with scope creep. Instead, I used only the knowledge I had of the market, specifically the technology sector as I am very involved with it, and put myself in the position of an investor with an equivalent amount of knowledge of the market and Excel. The results produced were interesting and</w:t>
      </w:r>
      <w:r w:rsidR="00B456D7">
        <w:rPr>
          <w:rFonts w:ascii="Cambria" w:hAnsi="Cambria"/>
        </w:rPr>
        <w:t>, in my humble opinion,</w:t>
      </w:r>
      <w:r w:rsidR="00343156">
        <w:rPr>
          <w:rFonts w:ascii="Cambria" w:hAnsi="Cambria"/>
        </w:rPr>
        <w:t xml:space="preserve"> significant on their </w:t>
      </w:r>
      <w:r w:rsidR="00B456D7">
        <w:rPr>
          <w:rFonts w:ascii="Cambria" w:hAnsi="Cambria"/>
        </w:rPr>
        <w:t>own without additional research.</w:t>
      </w:r>
      <w:r w:rsidR="00D31D46">
        <w:rPr>
          <w:rFonts w:ascii="Cambria" w:hAnsi="Cambria"/>
        </w:rPr>
        <w:t xml:space="preserve"> While I remain a highly risk-averse person and avoid anything resembling gambling, which I generally consider stock market trading to be (at least in the short term), I have gained an appreciation for how educated investing could be made by an amateur with enough knowledge of Excel and data manipulation.</w:t>
      </w:r>
      <w:r w:rsidR="00860B3C">
        <w:rPr>
          <w:rFonts w:ascii="Cambria" w:hAnsi="Cambria"/>
        </w:rPr>
        <w:t xml:space="preserve"> I am likely to even return to this project in the future to use it as a template and improve upon it as my proficiency with Excel and data visualization develops even further. I hope that you were able to gain some insights from this project</w:t>
      </w:r>
      <w:r w:rsidR="00CB6F1C">
        <w:rPr>
          <w:rFonts w:ascii="Cambria" w:hAnsi="Cambria"/>
        </w:rPr>
        <w:t xml:space="preserve"> as I was, and I thank you for your time.</w:t>
      </w:r>
      <w:bookmarkStart w:id="0" w:name="_GoBack"/>
      <w:bookmarkEnd w:id="0"/>
    </w:p>
    <w:sectPr w:rsidR="00EB5173" w:rsidSect="00F36B66">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DE8" w:rsidRDefault="00B32DE8" w:rsidP="002B5EC9">
      <w:r>
        <w:separator/>
      </w:r>
    </w:p>
  </w:endnote>
  <w:endnote w:type="continuationSeparator" w:id="0">
    <w:p w:rsidR="00B32DE8" w:rsidRDefault="00B32DE8" w:rsidP="002B5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157771"/>
      <w:docPartObj>
        <w:docPartGallery w:val="Page Numbers (Bottom of Page)"/>
        <w:docPartUnique/>
      </w:docPartObj>
    </w:sdtPr>
    <w:sdtEndPr>
      <w:rPr>
        <w:color w:val="7F7F7F" w:themeColor="background1" w:themeShade="7F"/>
        <w:spacing w:val="60"/>
      </w:rPr>
    </w:sdtEndPr>
    <w:sdtContent>
      <w:p w:rsidR="002B5EC9" w:rsidRDefault="002B5EC9">
        <w:pPr>
          <w:pStyle w:val="Footer"/>
          <w:pBdr>
            <w:top w:val="single" w:sz="4" w:space="1" w:color="D9D9D9" w:themeColor="background1" w:themeShade="D9"/>
          </w:pBdr>
          <w:jc w:val="right"/>
        </w:pPr>
        <w:r>
          <w:fldChar w:fldCharType="begin"/>
        </w:r>
        <w:r>
          <w:instrText xml:space="preserve"> PAGE   \* MERGEFORMAT </w:instrText>
        </w:r>
        <w:r>
          <w:fldChar w:fldCharType="separate"/>
        </w:r>
        <w:r w:rsidR="00CB6F1C">
          <w:rPr>
            <w:noProof/>
          </w:rPr>
          <w:t>6</w:t>
        </w:r>
        <w:r>
          <w:rPr>
            <w:noProof/>
          </w:rPr>
          <w:fldChar w:fldCharType="end"/>
        </w:r>
        <w:r>
          <w:t xml:space="preserve"> | </w:t>
        </w:r>
        <w:r>
          <w:rPr>
            <w:color w:val="7F7F7F" w:themeColor="background1" w:themeShade="7F"/>
            <w:spacing w:val="60"/>
          </w:rPr>
          <w:t>Sihly</w:t>
        </w:r>
      </w:p>
    </w:sdtContent>
  </w:sdt>
  <w:p w:rsidR="002B5EC9" w:rsidRDefault="002B5E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DE8" w:rsidRDefault="00B32DE8" w:rsidP="002B5EC9">
      <w:r>
        <w:separator/>
      </w:r>
    </w:p>
  </w:footnote>
  <w:footnote w:type="continuationSeparator" w:id="0">
    <w:p w:rsidR="00B32DE8" w:rsidRDefault="00B32DE8" w:rsidP="002B5E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F16"/>
    <w:rsid w:val="0002526C"/>
    <w:rsid w:val="000364A4"/>
    <w:rsid w:val="00041B70"/>
    <w:rsid w:val="000533EC"/>
    <w:rsid w:val="00062FB5"/>
    <w:rsid w:val="0007399B"/>
    <w:rsid w:val="000817E4"/>
    <w:rsid w:val="000E4BFF"/>
    <w:rsid w:val="000E6128"/>
    <w:rsid w:val="000E7992"/>
    <w:rsid w:val="00110296"/>
    <w:rsid w:val="00111127"/>
    <w:rsid w:val="00115AF3"/>
    <w:rsid w:val="00140AD4"/>
    <w:rsid w:val="00145262"/>
    <w:rsid w:val="00150F1E"/>
    <w:rsid w:val="001728DF"/>
    <w:rsid w:val="00180333"/>
    <w:rsid w:val="001B0970"/>
    <w:rsid w:val="001B1B22"/>
    <w:rsid w:val="001C6639"/>
    <w:rsid w:val="001D3FE7"/>
    <w:rsid w:val="00216177"/>
    <w:rsid w:val="00282C1B"/>
    <w:rsid w:val="002B5EC9"/>
    <w:rsid w:val="002B66A8"/>
    <w:rsid w:val="002B7C54"/>
    <w:rsid w:val="002D4C54"/>
    <w:rsid w:val="002E3379"/>
    <w:rsid w:val="002F6AEB"/>
    <w:rsid w:val="003052BC"/>
    <w:rsid w:val="003117F3"/>
    <w:rsid w:val="003408E2"/>
    <w:rsid w:val="00343156"/>
    <w:rsid w:val="00353BA9"/>
    <w:rsid w:val="00373F31"/>
    <w:rsid w:val="003E51AD"/>
    <w:rsid w:val="003F222F"/>
    <w:rsid w:val="004273D9"/>
    <w:rsid w:val="00447B7A"/>
    <w:rsid w:val="00457677"/>
    <w:rsid w:val="00464CC8"/>
    <w:rsid w:val="0048319D"/>
    <w:rsid w:val="004C7860"/>
    <w:rsid w:val="004F25B8"/>
    <w:rsid w:val="004F6FC3"/>
    <w:rsid w:val="00511F27"/>
    <w:rsid w:val="00541406"/>
    <w:rsid w:val="00542484"/>
    <w:rsid w:val="005523C0"/>
    <w:rsid w:val="005800F9"/>
    <w:rsid w:val="005B0E4C"/>
    <w:rsid w:val="005B1539"/>
    <w:rsid w:val="005B3BD2"/>
    <w:rsid w:val="00611A87"/>
    <w:rsid w:val="0065474E"/>
    <w:rsid w:val="0066437B"/>
    <w:rsid w:val="006939F3"/>
    <w:rsid w:val="006A2A6E"/>
    <w:rsid w:val="006E776D"/>
    <w:rsid w:val="0070468E"/>
    <w:rsid w:val="00705EE7"/>
    <w:rsid w:val="00746223"/>
    <w:rsid w:val="00793C4B"/>
    <w:rsid w:val="007D6CD5"/>
    <w:rsid w:val="00837654"/>
    <w:rsid w:val="00860B3C"/>
    <w:rsid w:val="008D3909"/>
    <w:rsid w:val="008E3ACD"/>
    <w:rsid w:val="008E532C"/>
    <w:rsid w:val="00904A73"/>
    <w:rsid w:val="00921DCB"/>
    <w:rsid w:val="00946969"/>
    <w:rsid w:val="00953F16"/>
    <w:rsid w:val="00956C0B"/>
    <w:rsid w:val="0099435D"/>
    <w:rsid w:val="009B1BFE"/>
    <w:rsid w:val="00A07C3C"/>
    <w:rsid w:val="00A27D12"/>
    <w:rsid w:val="00A500B7"/>
    <w:rsid w:val="00A564D5"/>
    <w:rsid w:val="00A5764C"/>
    <w:rsid w:val="00A661E5"/>
    <w:rsid w:val="00A7464B"/>
    <w:rsid w:val="00AC5573"/>
    <w:rsid w:val="00AC6628"/>
    <w:rsid w:val="00AD1634"/>
    <w:rsid w:val="00B12DD2"/>
    <w:rsid w:val="00B267D1"/>
    <w:rsid w:val="00B32DE8"/>
    <w:rsid w:val="00B456D7"/>
    <w:rsid w:val="00B51DE7"/>
    <w:rsid w:val="00B96CDF"/>
    <w:rsid w:val="00BA64E4"/>
    <w:rsid w:val="00BB4FEE"/>
    <w:rsid w:val="00BE5DB1"/>
    <w:rsid w:val="00C159A2"/>
    <w:rsid w:val="00C32927"/>
    <w:rsid w:val="00C66FB8"/>
    <w:rsid w:val="00CA79B9"/>
    <w:rsid w:val="00CB11E1"/>
    <w:rsid w:val="00CB51D8"/>
    <w:rsid w:val="00CB6F1C"/>
    <w:rsid w:val="00D23EEC"/>
    <w:rsid w:val="00D31D46"/>
    <w:rsid w:val="00D42EB9"/>
    <w:rsid w:val="00D4494E"/>
    <w:rsid w:val="00D61636"/>
    <w:rsid w:val="00D912F0"/>
    <w:rsid w:val="00DB525A"/>
    <w:rsid w:val="00DC6D76"/>
    <w:rsid w:val="00DD4E1E"/>
    <w:rsid w:val="00DE23F6"/>
    <w:rsid w:val="00DE4AF9"/>
    <w:rsid w:val="00DF6805"/>
    <w:rsid w:val="00E05277"/>
    <w:rsid w:val="00E069E5"/>
    <w:rsid w:val="00E27766"/>
    <w:rsid w:val="00E76C36"/>
    <w:rsid w:val="00E87CDB"/>
    <w:rsid w:val="00EB00C8"/>
    <w:rsid w:val="00EB281D"/>
    <w:rsid w:val="00EB5173"/>
    <w:rsid w:val="00EC27BA"/>
    <w:rsid w:val="00EC5F80"/>
    <w:rsid w:val="00ED0241"/>
    <w:rsid w:val="00EE0F88"/>
    <w:rsid w:val="00EE429B"/>
    <w:rsid w:val="00F36B66"/>
    <w:rsid w:val="00F42FB3"/>
    <w:rsid w:val="00F70B72"/>
    <w:rsid w:val="00FF7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30DA9"/>
  <w15:chartTrackingRefBased/>
  <w15:docId w15:val="{38600ED4-2DF0-446A-8698-AA5A5A725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F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
    <w:name w:val="Light List"/>
    <w:basedOn w:val="TableNormal"/>
    <w:uiPriority w:val="61"/>
    <w:rsid w:val="001728DF"/>
    <w:rPr>
      <w:rFonts w:asciiTheme="minorHAnsi" w:eastAsiaTheme="minorEastAsia"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39"/>
    <w:rsid w:val="001728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728D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2B5EC9"/>
    <w:pPr>
      <w:tabs>
        <w:tab w:val="center" w:pos="4680"/>
        <w:tab w:val="right" w:pos="9360"/>
      </w:tabs>
    </w:pPr>
  </w:style>
  <w:style w:type="character" w:customStyle="1" w:styleId="HeaderChar">
    <w:name w:val="Header Char"/>
    <w:basedOn w:val="DefaultParagraphFont"/>
    <w:link w:val="Header"/>
    <w:uiPriority w:val="99"/>
    <w:rsid w:val="002B5EC9"/>
  </w:style>
  <w:style w:type="paragraph" w:styleId="Footer">
    <w:name w:val="footer"/>
    <w:basedOn w:val="Normal"/>
    <w:link w:val="FooterChar"/>
    <w:uiPriority w:val="99"/>
    <w:unhideWhenUsed/>
    <w:rsid w:val="002B5EC9"/>
    <w:pPr>
      <w:tabs>
        <w:tab w:val="center" w:pos="4680"/>
        <w:tab w:val="right" w:pos="9360"/>
      </w:tabs>
    </w:pPr>
  </w:style>
  <w:style w:type="character" w:customStyle="1" w:styleId="FooterChar">
    <w:name w:val="Footer Char"/>
    <w:basedOn w:val="DefaultParagraphFont"/>
    <w:link w:val="Footer"/>
    <w:uiPriority w:val="99"/>
    <w:rsid w:val="002B5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129558">
      <w:bodyDiv w:val="1"/>
      <w:marLeft w:val="0"/>
      <w:marRight w:val="0"/>
      <w:marTop w:val="0"/>
      <w:marBottom w:val="0"/>
      <w:divBdr>
        <w:top w:val="none" w:sz="0" w:space="0" w:color="auto"/>
        <w:left w:val="none" w:sz="0" w:space="0" w:color="auto"/>
        <w:bottom w:val="none" w:sz="0" w:space="0" w:color="auto"/>
        <w:right w:val="none" w:sz="0" w:space="0" w:color="auto"/>
      </w:divBdr>
    </w:div>
    <w:div w:id="766390742">
      <w:bodyDiv w:val="1"/>
      <w:marLeft w:val="0"/>
      <w:marRight w:val="0"/>
      <w:marTop w:val="0"/>
      <w:marBottom w:val="0"/>
      <w:divBdr>
        <w:top w:val="none" w:sz="0" w:space="0" w:color="auto"/>
        <w:left w:val="none" w:sz="0" w:space="0" w:color="auto"/>
        <w:bottom w:val="none" w:sz="0" w:space="0" w:color="auto"/>
        <w:right w:val="none" w:sz="0" w:space="0" w:color="auto"/>
      </w:divBdr>
    </w:div>
    <w:div w:id="899748464">
      <w:bodyDiv w:val="1"/>
      <w:marLeft w:val="0"/>
      <w:marRight w:val="0"/>
      <w:marTop w:val="0"/>
      <w:marBottom w:val="0"/>
      <w:divBdr>
        <w:top w:val="none" w:sz="0" w:space="0" w:color="auto"/>
        <w:left w:val="none" w:sz="0" w:space="0" w:color="auto"/>
        <w:bottom w:val="none" w:sz="0" w:space="0" w:color="auto"/>
        <w:right w:val="none" w:sz="0" w:space="0" w:color="auto"/>
      </w:divBdr>
    </w:div>
    <w:div w:id="902832800">
      <w:bodyDiv w:val="1"/>
      <w:marLeft w:val="0"/>
      <w:marRight w:val="0"/>
      <w:marTop w:val="0"/>
      <w:marBottom w:val="0"/>
      <w:divBdr>
        <w:top w:val="none" w:sz="0" w:space="0" w:color="auto"/>
        <w:left w:val="none" w:sz="0" w:space="0" w:color="auto"/>
        <w:bottom w:val="none" w:sz="0" w:space="0" w:color="auto"/>
        <w:right w:val="none" w:sz="0" w:space="0" w:color="auto"/>
      </w:divBdr>
    </w:div>
    <w:div w:id="172406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8B3C0-9EBE-44EA-ACCA-B698879F7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2912</TotalTime>
  <Pages>7</Pages>
  <Words>2079</Words>
  <Characters>10232</Characters>
  <Application>Microsoft Office Word</Application>
  <DocSecurity>0</DocSecurity>
  <Lines>249</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66</cp:revision>
  <dcterms:created xsi:type="dcterms:W3CDTF">2018-11-26T17:49:00Z</dcterms:created>
  <dcterms:modified xsi:type="dcterms:W3CDTF">2019-05-18T12:59:00Z</dcterms:modified>
</cp:coreProperties>
</file>