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Term Life Insurance Policy:</w:t>
        <w:br w:type="textWrapping"/>
      </w:r>
    </w:p>
    <w:p w:rsidR="00000000" w:rsidDel="00000000" w:rsidP="00000000" w:rsidRDefault="00000000" w:rsidRPr="00000000" w14:paraId="00000002">
      <w:pPr>
        <w:numPr>
          <w:ilvl w:val="0"/>
          <w:numId w:val="7"/>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Upon securing initial funding, the Company shall procure a term life insurance policy in the amount of $250,000, designating Mia as the beneficiary, to provide financial security in the event of the Member's demise.​</w:t>
        <w:br w:type="textWrapping"/>
      </w:r>
    </w:p>
    <w:p w:rsidR="00000000" w:rsidDel="00000000" w:rsidP="00000000" w:rsidRDefault="00000000" w:rsidRPr="00000000" w14:paraId="00000003">
      <w:pPr>
        <w:rPr>
          <w:b w:val="1"/>
          <w:bCs w:val="1"/>
        </w:rPr>
      </w:pPr>
      <w:r w:rsidDel="00000000" w:rsidR="00000000" w:rsidRPr="00000000">
        <w:rPr>
          <w:b w:val="1"/>
          <w:bCs w:val="1"/>
          <w:rtl w:val="0"/>
        </w:rPr>
        <w:t xml:space="preserve">Equity Structure and Holding Company:</w:t>
        <w:br w:type="textWrapping"/>
      </w:r>
    </w:p>
    <w:p w:rsidR="00000000" w:rsidDel="00000000" w:rsidP="00000000" w:rsidRDefault="00000000" w:rsidRPr="00000000" w14:paraId="00000004">
      <w:pPr>
        <w:numPr>
          <w:ilvl w:val="0"/>
          <w:numId w:val="12"/>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The Member shall hold a 24.5% ownership interest in the Company. A secondary holding entity, primarily owned by the Member, shall be established to receive 9% of the net profits from the Company and shall hold the patent rights. Any transfer or alteration of this holding entity's interests shall require unanimous consent from all Members.​</w:t>
        <w:br w:type="textWrapping"/>
      </w:r>
    </w:p>
    <w:p w:rsidR="00000000" w:rsidDel="00000000" w:rsidP="00000000" w:rsidRDefault="00000000" w:rsidRPr="00000000" w14:paraId="00000005">
      <w:pPr>
        <w:rPr>
          <w:b w:val="1"/>
          <w:bCs w:val="1"/>
        </w:rPr>
      </w:pPr>
      <w:r w:rsidDel="00000000" w:rsidR="00000000" w:rsidRPr="00000000">
        <w:rPr>
          <w:b w:val="1"/>
          <w:bCs w:val="1"/>
          <w:rtl w:val="0"/>
        </w:rPr>
        <w:t xml:space="preserve">Monthly Allowance:</w:t>
        <w:br w:type="textWrapping"/>
      </w:r>
    </w:p>
    <w:p w:rsidR="00000000" w:rsidDel="00000000" w:rsidP="00000000" w:rsidRDefault="00000000" w:rsidRPr="00000000" w14:paraId="00000006">
      <w:pPr>
        <w:numPr>
          <w:ilvl w:val="0"/>
          <w:numId w:val="4"/>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Upon the Company's receipt of initial funding, the Member shall be entitled to a monthly draw of $2000 to cover personal expenses, including but not limited to transportation and relocation costs.​</w:t>
        <w:br w:type="textWrapping"/>
      </w:r>
    </w:p>
    <w:p w:rsidR="00000000" w:rsidDel="00000000" w:rsidP="00000000" w:rsidRDefault="00000000" w:rsidRPr="00000000" w14:paraId="00000007">
      <w:pPr>
        <w:rPr>
          <w:b w:val="1"/>
          <w:bCs w:val="1"/>
        </w:rPr>
      </w:pPr>
      <w:r w:rsidDel="00000000" w:rsidR="00000000" w:rsidRPr="00000000">
        <w:rPr>
          <w:b w:val="1"/>
          <w:bCs w:val="1"/>
          <w:rtl w:val="0"/>
        </w:rPr>
        <w:t xml:space="preserve">Performance Goals and Timelines:</w:t>
        <w:br w:type="textWrapping"/>
      </w:r>
    </w:p>
    <w:p w:rsidR="00000000" w:rsidDel="00000000" w:rsidP="00000000" w:rsidRDefault="00000000" w:rsidRPr="00000000" w14:paraId="00000008">
      <w:pPr>
        <w:numPr>
          <w:ilvl w:val="0"/>
          <w:numId w:val="13"/>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The Company shall establish specific performance objectives and corresponding timelines. Regular assessments shall be conducted to evaluate progress, and adjustments to strategies shall be made as necessary to achieve these goals.​</w:t>
        <w:br w:type="textWrapping"/>
      </w:r>
    </w:p>
    <w:p w:rsidR="00000000" w:rsidDel="00000000" w:rsidP="00000000" w:rsidRDefault="00000000" w:rsidRPr="00000000" w14:paraId="00000009">
      <w:pPr>
        <w:rPr>
          <w:b w:val="1"/>
          <w:bCs w:val="1"/>
        </w:rPr>
      </w:pPr>
      <w:r w:rsidDel="00000000" w:rsidR="00000000" w:rsidRPr="00000000">
        <w:rPr>
          <w:b w:val="1"/>
          <w:bCs w:val="1"/>
          <w:rtl w:val="0"/>
        </w:rPr>
        <w:t xml:space="preserve">Morals Clause:</w:t>
        <w:br w:type="textWrapping"/>
      </w:r>
    </w:p>
    <w:p w:rsidR="00000000" w:rsidDel="00000000" w:rsidP="00000000" w:rsidRDefault="00000000" w:rsidRPr="00000000" w14:paraId="0000000A">
      <w:pPr>
        <w:numPr>
          <w:ilvl w:val="0"/>
          <w:numId w:val="9"/>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All Members are expected to uphold high ethical standards. Engagement in illegal activities or conduct detrimental to the Company's reputation may result in expulsion or other disciplinary actions, as determined by a neutral arbitrator agreed upon by all Members.​</w:t>
      </w:r>
      <w:hyperlink r:id="rId6">
        <w:r w:rsidDel="00000000" w:rsidR="00000000" w:rsidRPr="00000000">
          <w:rPr>
            <w:color w:val="1155cc"/>
            <w:u w:val="single"/>
            <w:rtl w:val="0"/>
          </w:rPr>
          <w:t xml:space="preserve">SEC+1Illinois Secretary of State+1</w:t>
          <w:br w:type="textWrapping"/>
        </w:r>
      </w:hyperlink>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Investor Buyout Scenarios:</w:t>
        <w:br w:type="textWrapping"/>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In the event a significant investor proposes a buyout or royalty arrangement, the Company shall convene a meeting to deliberate the terms. Approval of such agreements shall require the consent of Members holding at least 90% of the ownership interests.​</w:t>
        <w:br w:type="textWrapping"/>
      </w:r>
    </w:p>
    <w:p w:rsidR="00000000" w:rsidDel="00000000" w:rsidP="00000000" w:rsidRDefault="00000000" w:rsidRPr="00000000" w14:paraId="0000000D">
      <w:pPr>
        <w:rPr>
          <w:b w:val="1"/>
          <w:bCs w:val="1"/>
        </w:rPr>
      </w:pPr>
      <w:r w:rsidDel="00000000" w:rsidR="00000000" w:rsidRPr="00000000">
        <w:rPr>
          <w:b w:val="1"/>
          <w:bCs w:val="1"/>
          <w:rtl w:val="0"/>
        </w:rPr>
        <w:t xml:space="preserve">Succession and Mia's Care:</w:t>
        <w:br w:type="textWrapping"/>
      </w:r>
    </w:p>
    <w:p w:rsidR="00000000" w:rsidDel="00000000" w:rsidP="00000000" w:rsidRDefault="00000000" w:rsidRPr="00000000" w14:paraId="0000000E">
      <w:pPr>
        <w:numPr>
          <w:ilvl w:val="0"/>
          <w:numId w:val="6"/>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In the event of the Member's incapacitation or death, the Member's ownership interests shall transfer to Mia. The Company shall ensure that Mia receives appropriate financial support and shall facilitate her involvement in the Company's affairs, as deemed appropriate.​</w:t>
        <w:br w:type="textWrapping"/>
      </w:r>
    </w:p>
    <w:p w:rsidR="00000000" w:rsidDel="00000000" w:rsidP="00000000" w:rsidRDefault="00000000" w:rsidRPr="00000000" w14:paraId="0000000F">
      <w:pPr>
        <w:rPr>
          <w:b w:val="1"/>
          <w:bCs w:val="1"/>
        </w:rPr>
      </w:pPr>
      <w:r w:rsidDel="00000000" w:rsidR="00000000" w:rsidRPr="00000000">
        <w:rPr>
          <w:b w:val="1"/>
          <w:bCs w:val="1"/>
          <w:rtl w:val="0"/>
        </w:rPr>
        <w:t xml:space="preserve">Health Insurance Plan:</w:t>
        <w:br w:type="textWrapping"/>
      </w:r>
    </w:p>
    <w:p w:rsidR="00000000" w:rsidDel="00000000" w:rsidP="00000000" w:rsidRDefault="00000000" w:rsidRPr="00000000" w14:paraId="00000010">
      <w:pPr>
        <w:numPr>
          <w:ilvl w:val="0"/>
          <w:numId w:val="5"/>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The Company shall explore and, if feasible, implement a group health insurance plan for its Members and employees, recognizing the benefits of collective coverage over individual policies.​</w:t>
        <w:br w:type="textWrapping"/>
      </w:r>
    </w:p>
    <w:p w:rsidR="00000000" w:rsidDel="00000000" w:rsidP="00000000" w:rsidRDefault="00000000" w:rsidRPr="00000000" w14:paraId="00000011">
      <w:pPr>
        <w:rPr>
          <w:b w:val="1"/>
          <w:bCs w:val="1"/>
        </w:rPr>
      </w:pPr>
      <w:r w:rsidDel="00000000" w:rsidR="00000000" w:rsidRPr="00000000">
        <w:rPr>
          <w:b w:val="1"/>
          <w:bCs w:val="1"/>
          <w:rtl w:val="0"/>
        </w:rPr>
        <w:t xml:space="preserve">Distribution of Sale Proceeds:</w:t>
        <w:br w:type="textWrapping"/>
      </w:r>
    </w:p>
    <w:p w:rsidR="00000000" w:rsidDel="00000000" w:rsidP="00000000" w:rsidRDefault="00000000" w:rsidRPr="00000000" w14:paraId="00000012">
      <w:pPr>
        <w:numPr>
          <w:ilvl w:val="0"/>
          <w:numId w:val="10"/>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In the event of a sale of the Company, proceeds shall be distributed among Members in proportion to their respective ownership interests, unless an alternative distribution method has been unanimously agreed upon prior to the sale.​</w:t>
      </w:r>
      <w:hyperlink r:id="rId7">
        <w:r w:rsidDel="00000000" w:rsidR="00000000" w:rsidRPr="00000000">
          <w:rPr>
            <w:color w:val="1155cc"/>
            <w:u w:val="single"/>
            <w:rtl w:val="0"/>
          </w:rPr>
          <w:t xml:space="preserve">LLC University®</w:t>
          <w:br w:type="textWrapping"/>
        </w:r>
      </w:hyperlink>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Graduated Buy-Sell Agreement:</w:t>
        <w:br w:type="textWrapping"/>
      </w:r>
    </w:p>
    <w:p w:rsidR="00000000" w:rsidDel="00000000" w:rsidP="00000000" w:rsidRDefault="00000000" w:rsidRPr="00000000" w14:paraId="00000014">
      <w:pPr>
        <w:numPr>
          <w:ilvl w:val="0"/>
          <w:numId w:val="8"/>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As the Company achieves significant revenue milestones, a graduated buy-sell agreement shall be implemented, facilitating the transfer of the Member's interests to Mia based on annual valuations. This agreement shall supersede the initial term life insurance policy when deemed appropriate by all Members.</w:t>
        <w:br w:type="textWrapping"/>
      </w:r>
    </w:p>
    <w:p w:rsidR="00000000" w:rsidDel="00000000" w:rsidP="00000000" w:rsidRDefault="00000000" w:rsidRPr="00000000" w14:paraId="00000015">
      <w:pPr>
        <w:rPr>
          <w:b w:val="1"/>
          <w:bCs w:val="1"/>
        </w:rPr>
      </w:pPr>
      <w:r w:rsidDel="00000000" w:rsidR="00000000" w:rsidRPr="00000000">
        <w:rPr>
          <w:b w:val="1"/>
          <w:bCs w:val="1"/>
          <w:rtl w:val="0"/>
        </w:rPr>
        <w:t xml:space="preserve">Restrictions on Transfer of Interests:</w:t>
        <w:br w:type="textWrapping"/>
      </w:r>
    </w:p>
    <w:p w:rsidR="00000000" w:rsidDel="00000000" w:rsidP="00000000" w:rsidRDefault="00000000" w:rsidRPr="00000000" w14:paraId="00000016">
      <w:pPr>
        <w:numPr>
          <w:ilvl w:val="0"/>
          <w:numId w:val="3"/>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No Member shall transfer, sell, or use as collateral their ownership interest without the prior written consent of all other Members, ensuring control over the Company's ownership structure.</w:t>
        <w:br w:type="textWrapping"/>
      </w:r>
    </w:p>
    <w:p w:rsidR="00000000" w:rsidDel="00000000" w:rsidP="00000000" w:rsidRDefault="00000000" w:rsidRPr="00000000" w14:paraId="00000017">
      <w:pPr>
        <w:rPr>
          <w:b w:val="1"/>
          <w:bCs w:val="1"/>
        </w:rPr>
      </w:pPr>
      <w:r w:rsidDel="00000000" w:rsidR="00000000" w:rsidRPr="00000000">
        <w:rPr>
          <w:b w:val="1"/>
          <w:bCs w:val="1"/>
          <w:rtl w:val="0"/>
        </w:rPr>
        <w:t xml:space="preserve">Dispute Resolution:</w:t>
        <w:br w:type="textWrapping"/>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Any disputes arising among Members shall be resolved through arbitration, with Brian designated as the arbitrator, subject to his agreement. This process aims to provide a fair and expedient resolution to conflicts.</w:t>
        <w:br w:type="textWrapping"/>
      </w:r>
    </w:p>
    <w:p w:rsidR="00000000" w:rsidDel="00000000" w:rsidP="00000000" w:rsidRDefault="00000000" w:rsidRPr="00000000" w14:paraId="00000019">
      <w:pPr>
        <w:rPr>
          <w:b w:val="1"/>
          <w:bCs w:val="1"/>
        </w:rPr>
      </w:pPr>
      <w:r w:rsidDel="00000000" w:rsidR="00000000" w:rsidRPr="00000000">
        <w:rPr>
          <w:b w:val="1"/>
          <w:bCs w:val="1"/>
          <w:rtl w:val="0"/>
        </w:rPr>
        <w:t xml:space="preserve">Prenuptial Agreements:</w:t>
        <w:br w:type="textWrapping"/>
      </w:r>
    </w:p>
    <w:p w:rsidR="00000000" w:rsidDel="00000000" w:rsidP="00000000" w:rsidRDefault="00000000" w:rsidRPr="00000000" w14:paraId="0000001A">
      <w:pPr>
        <w:numPr>
          <w:ilvl w:val="0"/>
          <w:numId w:val="11"/>
        </w:numPr>
        <w:spacing w:after="240" w:before="240" w:lineRule="auto"/>
        <w:ind w:left="720" w:hanging="360"/>
      </w:pPr>
      <w:r w:rsidDel="00000000" w:rsidR="00000000" w:rsidRPr="00000000">
        <w:rPr>
          <w:b w:val="1"/>
          <w:bCs w:val="1"/>
          <w:rtl w:val="0"/>
        </w:rPr>
        <w:t xml:space="preserve">Provision:</w:t>
      </w:r>
      <w:r w:rsidDel="00000000" w:rsidR="00000000" w:rsidRPr="00000000">
        <w:rPr>
          <w:rtl w:val="0"/>
        </w:rPr>
        <w:t xml:space="preserve"> In the event a Member enters into marriage, it is recommended that a prenuptial agreement be executed to protect the Member's ownership interest in the Company, safeguarding the Company's assets from potential division in marital dissolution proceedings.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ec.gov/Archives/edgar/data/1710904/000166919117000100/operatingagreement.pdf?utm_source=chatgpt.com" TargetMode="External"/><Relationship Id="rId7" Type="http://schemas.openxmlformats.org/officeDocument/2006/relationships/hyperlink" Target="https://www.llcuniversity.com/illinois-llc/operating-agreem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