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tnrbm414k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Intro Letter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McDonald’s Owner/Operator,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our September initiative for Pediatric Cancer Awareness Month, we’re proud to introduce the </w:t>
      </w:r>
      <w:r w:rsidDel="00000000" w:rsidR="00000000" w:rsidRPr="00000000">
        <w:rPr>
          <w:i w:val="1"/>
          <w:iCs w:val="1"/>
          <w:rtl w:val="0"/>
        </w:rPr>
        <w:t xml:space="preserve">Ronald McDonald Kitchen</w:t>
      </w:r>
      <w:r w:rsidDel="00000000" w:rsidR="00000000" w:rsidRPr="00000000">
        <w:rPr>
          <w:rtl w:val="0"/>
        </w:rPr>
        <w:t xml:space="preserve"> donation program—a simple and heartfelt way for customers to give back to children in local hospitals and Ronald McDonald Houses.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Enclosed is a complete promotional package you can implement with minimal effort. This includes: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Employee training language</w:t>
        <w:br w:type="textWrapping"/>
        <w:t xml:space="preserve"> – Table tent messaging for counters and dining areas</w:t>
        <w:br w:type="textWrapping"/>
        <w:t xml:space="preserve"> – A branding overview for internal use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initiative gives guests the opportunity to donate a cone or Happy Meal at checkout, offering them a moment of joy and purpose, and delivering real meals to children undergoing treatment nearby. Franchisees will retain a small portion of each donation to support participation, with the remainder going directly to serve these families.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invite you to join us in making this program a success across the region.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 [McDonald’s Regional/Corporate Name Here]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