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rPr>
          <w:rFonts w:ascii="Aptos Display" w:hAnsi="Aptos Display" w:eastAsia="Aptos Display"/>
          <w:b/>
          <w:color w:val="000000"/>
          <w:sz w:val="56"/>
        </w:rPr>
        <w:t>Mull Evidence and Hypothesis Map</w:t>
      </w:r>
    </w:p>
    <w:p>
      <w:pPr>
        <w:spacing w:after="360"/>
      </w:pPr>
      <w:r>
        <w:rPr>
          <w:rFonts w:ascii="Aptos" w:hAnsi="Aptos" w:eastAsia="Aptos"/>
          <w:color w:val="667085"/>
          <w:sz w:val="24"/>
        </w:rPr>
        <w:t>Synthesis of two user interviews</w:t>
      </w:r>
    </w:p>
    <w:p>
      <w:pPr>
        <w:spacing w:after="100" w:line="259" w:lineRule="auto"/>
      </w:pPr>
      <w:r>
        <w:rPr>
          <w:rFonts w:ascii="Aptos" w:hAnsi="Aptos" w:eastAsia="Aptos"/>
          <w:color w:val="000000"/>
          <w:sz w:val="20"/>
        </w:rPr>
        <w:t>This document maps the current interview evidence to Mull's product hypotheses and records the product decisions that can be justified from that evidence. It distinguishes supported findings from mixed signals and untested assumptions so that future claims remain credible.</w:t>
      </w:r>
    </w:p>
    <w:p>
      <w:pPr>
        <w:pStyle w:val="Heading1"/>
        <w:keepNext/>
        <w:spacing w:before="240" w:after="100"/>
      </w:pPr>
      <w:r>
        <w:rPr>
          <w:rFonts w:ascii="Aptos" w:hAnsi="Aptos" w:eastAsia="Aptos"/>
          <w:b/>
          <w:color w:val="000000"/>
          <w:sz w:val="30"/>
        </w:rPr>
        <w:t>Current evidence conclusion</w:t>
      </w:r>
    </w:p>
    <w:p>
      <w:pPr>
        <w:spacing w:after="100" w:line="259" w:lineRule="auto"/>
      </w:pPr>
      <w:r>
        <w:rPr>
          <w:rFonts w:ascii="Aptos" w:hAnsi="Aptos" w:eastAsia="Aptos"/>
          <w:color w:val="000000"/>
          <w:sz w:val="20"/>
        </w:rPr>
        <w:t>The strongest validated problem is not voice input by itself. Both participants described friction from moving between applications and repeatedly providing context to an AI assistant. Voice was useful for one participant's short operational tasks but was rejected by the other because typing offered greater precision and privacy.</w:t>
      </w:r>
    </w:p>
    <w:p>
      <w:pPr>
        <w:spacing w:after="100" w:line="259" w:lineRule="auto"/>
      </w:pPr>
      <w:r>
        <w:rPr>
          <w:rFonts w:ascii="Aptos" w:hAnsi="Aptos" w:eastAsia="Aptos"/>
          <w:color w:val="000000"/>
          <w:sz w:val="20"/>
        </w:rPr>
        <w:t>The clearest trust requirement is a visible proposal before action. Participants prioritized the exact proposed change, its destination, and explicit approval for externally visible actions. The current evidence supports an in-context, reviewable assistant with voice and typing as complementary inputs.</w:t>
      </w:r>
    </w:p>
    <w:p>
      <w:pPr>
        <w:pStyle w:val="Heading1"/>
        <w:keepNext/>
        <w:spacing w:before="240" w:after="100"/>
      </w:pPr>
      <w:r>
        <w:rPr>
          <w:rFonts w:ascii="Aptos" w:hAnsi="Aptos" w:eastAsia="Aptos"/>
          <w:b/>
          <w:color w:val="000000"/>
          <w:sz w:val="30"/>
        </w:rPr>
        <w:t>Evidence base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936"/>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Participant</w:t>
            </w:r>
          </w:p>
        </w:tc>
        <w:tc>
          <w:tcPr>
            <w:tcW w:type="dxa" w:w="2232"/>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Work profile</w:t>
            </w:r>
          </w:p>
        </w:tc>
        <w:tc>
          <w:tcPr>
            <w:tcW w:type="dxa" w:w="3168"/>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Current behavior</w:t>
            </w:r>
          </w:p>
        </w:tc>
        <w:tc>
          <w:tcPr>
            <w:tcW w:type="dxa" w:w="3888"/>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Primary evidence</w:t>
            </w:r>
          </w:p>
        </w:tc>
      </w:tr>
      <w:tr>
        <w:trPr>
          <w:cantSplit w:val="true"/>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7"/>
              </w:rPr>
              <w:t>P1</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Data and query-focused knowledge worker</w:t>
            </w:r>
          </w:p>
        </w:tc>
        <w:tc>
          <w:tcPr>
            <w:tcW w:type="dxa" w:w="3168"/>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Frequent AI use through typed prompts</w:t>
            </w:r>
          </w:p>
        </w:tc>
        <w:tc>
          <w:tcPr>
            <w:tcW w:type="dxa" w:w="3888"/>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Switching applications, providing context, privacy, selected-text control</w:t>
            </w:r>
          </w:p>
        </w:tc>
      </w:tr>
      <w:tr>
        <w:trPr>
          <w:cantSplit w:val="true"/>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7"/>
              </w:rPr>
              <w:t>P2</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Delivery manager</w:t>
            </w:r>
          </w:p>
        </w:tc>
        <w:tc>
          <w:tcPr>
            <w:tcW w:type="dxa" w:w="3168"/>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Daily AI use for summaries, communication, proposals, and follow-ups</w:t>
            </w:r>
          </w:p>
        </w:tc>
        <w:tc>
          <w:tcPr>
            <w:tcW w:type="dxa" w:w="3888"/>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Repeated context transfer, external-action risk, enterprise privacy, workflow integration</w:t>
            </w:r>
          </w:p>
        </w:tc>
      </w:tr>
    </w:tbl>
    <w:p>
      <w:pPr>
        <w:spacing w:after="20"/>
      </w:pPr>
    </w:p>
    <w:p>
      <w:pPr>
        <w:spacing w:after="100" w:line="259" w:lineRule="auto"/>
      </w:pPr>
      <w:r>
        <w:rPr>
          <w:rFonts w:ascii="Aptos" w:hAnsi="Aptos" w:eastAsia="Aptos"/>
          <w:b/>
          <w:color w:val="000000"/>
          <w:sz w:val="20"/>
        </w:rPr>
        <w:t>Evidence boundary:</w:t>
      </w:r>
      <w:r>
        <w:rPr>
          <w:rFonts w:ascii="Aptos" w:hAnsi="Aptos" w:eastAsia="Aptos"/>
          <w:color w:val="000000"/>
          <w:sz w:val="20"/>
        </w:rPr>
        <w:t xml:space="preserve"> these are self-reported concept interviews. They do not yet demonstrate observed task success, sustained product usage, or willingness to pay at a specific price. Claims about adoption and usability therefore remain provisional.</w:t>
      </w:r>
    </w:p>
    <w:p>
      <w:r>
        <w:br w:type="page"/>
      </w:r>
    </w:p>
    <w:p>
      <w:pPr>
        <w:pStyle w:val="Heading1"/>
        <w:keepNext/>
        <w:spacing w:before="240" w:after="100"/>
      </w:pPr>
      <w:r>
        <w:rPr>
          <w:rFonts w:ascii="Aptos" w:hAnsi="Aptos" w:eastAsia="Aptos"/>
          <w:b/>
          <w:color w:val="000000"/>
          <w:sz w:val="30"/>
        </w:rPr>
        <w:t>Cross interview evidence map</w:t>
      </w:r>
    </w:p>
    <w:p>
      <w:pPr>
        <w:spacing w:after="100" w:line="259" w:lineRule="auto"/>
      </w:pPr>
      <w:r>
        <w:rPr>
          <w:rFonts w:ascii="Aptos" w:hAnsi="Aptos" w:eastAsia="Aptos"/>
          <w:color w:val="000000"/>
          <w:sz w:val="20"/>
        </w:rPr>
        <w:t>The table below groups the responses into recurring product themes. A theme is treated as stronger when both participants independently reported the same problem or preference.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Theme</w:t>
            </w:r>
          </w:p>
        </w:tc>
        <w:tc>
          <w:tcPr>
            <w:tcW w:type="dxa" w:w="2952"/>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P1 evidence</w:t>
            </w:r>
          </w:p>
        </w:tc>
        <w:tc>
          <w:tcPr>
            <w:tcW w:type="dxa" w:w="3816"/>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P2 evidence</w:t>
            </w:r>
          </w:p>
        </w:tc>
        <w:tc>
          <w:tcPr>
            <w:tcW w:type="dxa" w:w="1800"/>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Assessment</w:t>
            </w:r>
          </w:p>
        </w:tc>
      </w:tr>
      <w:tr>
        <w:trPr>
          <w:cantSplit w:val="true"/>
        </w:trPr>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6"/>
              </w:rPr>
              <w:t>Context transfer</w:t>
            </w:r>
          </w:p>
        </w:tc>
        <w:tc>
          <w:tcPr>
            <w:tcW w:type="dxa" w:w="295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Reported switching applications and manually explaining context.</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Repeatedly copied RFP material, internal knowledge, templates, and client context across tools.</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Strong convergence</w:t>
            </w:r>
          </w:p>
        </w:tc>
      </w:tr>
      <w:tr>
        <w:trPr>
          <w:cantSplit w:val="true"/>
        </w:trPr>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6"/>
              </w:rPr>
              <w:t>Voice suitability</w:t>
            </w:r>
          </w:p>
        </w:tc>
        <w:tc>
          <w:tcPr>
            <w:tcW w:type="dxa" w:w="295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Preferred typing and could not identify a case where voice was easier.</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Preferred voice for reminders, follow-ups, and thoughts immediately after meetings.</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Mixed</w:t>
            </w:r>
          </w:p>
        </w:tc>
      </w:tr>
      <w:tr>
        <w:trPr>
          <w:cantSplit w:val="true"/>
        </w:trPr>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6"/>
              </w:rPr>
              <w:t>Preview and approval</w:t>
            </w:r>
          </w:p>
        </w:tc>
        <w:tc>
          <w:tcPr>
            <w:tcW w:type="dxa" w:w="295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Wanted to see the result before deciding.</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Wanted full final text, highlighted changes, destination, and recipients before approval.</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Strong convergence</w:t>
            </w:r>
          </w:p>
        </w:tc>
      </w:tr>
      <w:tr>
        <w:trPr>
          <w:cantSplit w:val="true"/>
        </w:trPr>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6"/>
              </w:rPr>
              <w:t>Context permission</w:t>
            </w:r>
          </w:p>
        </w:tc>
        <w:tc>
          <w:tcPr>
            <w:tcW w:type="dxa" w:w="295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Allowed only explicitly selected text.</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Allowed selected text and user-triggered active-window access; rejected whole-screen access.</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Convergent direction</w:t>
            </w:r>
          </w:p>
        </w:tc>
      </w:tr>
      <w:tr>
        <w:trPr>
          <w:cantSplit w:val="true"/>
        </w:trPr>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6"/>
              </w:rPr>
              <w:t>Journal and undo</w:t>
            </w:r>
          </w:p>
        </w:tc>
        <w:tc>
          <w:tcPr>
            <w:tcW w:type="dxa" w:w="295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Unsure of its value.</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Considered history and one-click revert important for accountability and recovery.</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Mixed</w:t>
            </w:r>
          </w:p>
        </w:tc>
      </w:tr>
      <w:tr>
        <w:trPr>
          <w:cantSplit w:val="true"/>
        </w:trPr>
        <w:tc>
          <w:tcPr>
            <w:tcW w:type="dxa" w:w="165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6"/>
              </w:rPr>
              <w:t>Adoption condition</w:t>
            </w:r>
          </w:p>
        </w:tc>
        <w:tc>
          <w:tcPr>
            <w:tcW w:type="dxa" w:w="295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Would adopt if repetitive work became faster and easier.</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Would adopt if it saved 45 to 60 minutes daily and passed enterprise security review.</w:t>
            </w:r>
          </w:p>
        </w:tc>
        <w:tc>
          <w:tcPr>
            <w:tcW w:type="dxa" w:w="180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Promising, unvalidated</w:t>
            </w:r>
          </w:p>
        </w:tc>
      </w:tr>
    </w:tbl>
    <w:p>
      <w:pPr>
        <w:spacing w:after="20"/>
      </w:pPr>
    </w:p>
    <w:p>
      <w:pPr>
        <w:pStyle w:val="Heading1"/>
        <w:keepNext/>
        <w:spacing w:before="240" w:after="100"/>
      </w:pPr>
      <w:r>
        <w:rPr>
          <w:rFonts w:ascii="Aptos" w:hAnsi="Aptos" w:eastAsia="Aptos"/>
          <w:b/>
          <w:color w:val="000000"/>
          <w:sz w:val="30"/>
        </w:rPr>
        <w:t>Primary evidence statements</w:t>
      </w:r>
    </w:p>
    <w:p>
      <w:pPr>
        <w:pStyle w:val="ListBullet"/>
        <w:spacing w:after="50" w:line="250" w:lineRule="auto"/>
      </w:pPr>
      <w:r>
        <w:rPr>
          <w:rFonts w:ascii="Aptos" w:hAnsi="Aptos" w:eastAsia="Aptos"/>
          <w:color w:val="000000"/>
          <w:sz w:val="20"/>
        </w:rPr>
        <w:t>Application switching and repeated context explanation are present in both participants' existing AI workflows.</w:t>
      </w:r>
    </w:p>
    <w:p>
      <w:pPr>
        <w:pStyle w:val="ListBullet"/>
        <w:spacing w:after="50" w:line="250" w:lineRule="auto"/>
      </w:pPr>
      <w:r>
        <w:rPr>
          <w:rFonts w:ascii="Aptos" w:hAnsi="Aptos" w:eastAsia="Aptos"/>
          <w:color w:val="000000"/>
          <w:sz w:val="20"/>
        </w:rPr>
        <w:t>Voice has clear value for quick operational work, but it is not preferred universally and becomes less suitable for confidential or precision-heavy tasks.</w:t>
      </w:r>
    </w:p>
    <w:p>
      <w:pPr>
        <w:pStyle w:val="ListBullet"/>
        <w:spacing w:after="50" w:line="250" w:lineRule="auto"/>
      </w:pPr>
      <w:r>
        <w:rPr>
          <w:rFonts w:ascii="Aptos" w:hAnsi="Aptos" w:eastAsia="Aptos"/>
          <w:color w:val="000000"/>
          <w:sz w:val="20"/>
        </w:rPr>
        <w:t>Users want to inspect the exact result before Mull changes or sends anything.</w:t>
      </w:r>
    </w:p>
    <w:p>
      <w:pPr>
        <w:pStyle w:val="ListBullet"/>
        <w:spacing w:after="50" w:line="250" w:lineRule="auto"/>
      </w:pPr>
      <w:r>
        <w:rPr>
          <w:rFonts w:ascii="Aptos" w:hAnsi="Aptos" w:eastAsia="Aptos"/>
          <w:color w:val="000000"/>
          <w:sz w:val="20"/>
        </w:rPr>
        <w:t>External writes require stronger approval than private transformations or drafts.</w:t>
      </w:r>
    </w:p>
    <w:p>
      <w:pPr>
        <w:pStyle w:val="ListBullet"/>
        <w:spacing w:after="50" w:line="250" w:lineRule="auto"/>
      </w:pPr>
      <w:r>
        <w:rPr>
          <w:rFonts w:ascii="Aptos" w:hAnsi="Aptos" w:eastAsia="Aptos"/>
          <w:color w:val="000000"/>
          <w:sz w:val="20"/>
        </w:rPr>
        <w:t>Selected text is the acceptable default context scope; active-window access may be acceptable when explicitly triggered.</w:t>
      </w:r>
    </w:p>
    <w:p>
      <w:pPr>
        <w:pStyle w:val="ListBullet"/>
        <w:spacing w:after="50" w:line="250" w:lineRule="auto"/>
      </w:pPr>
      <w:r>
        <w:rPr>
          <w:rFonts w:ascii="Aptos" w:hAnsi="Aptos" w:eastAsia="Aptos"/>
          <w:color w:val="000000"/>
          <w:sz w:val="20"/>
        </w:rPr>
        <w:t>Enterprise adoption depends on data controls, destination awareness, and reliable handling of names, dates, numbers, and recipients.</w:t>
      </w:r>
    </w:p>
    <w:p>
      <w:r>
        <w:br w:type="page"/>
      </w:r>
    </w:p>
    <w:p>
      <w:pPr>
        <w:pStyle w:val="Heading1"/>
        <w:keepNext/>
        <w:spacing w:before="240" w:after="100"/>
      </w:pPr>
      <w:r>
        <w:rPr>
          <w:rFonts w:ascii="Aptos" w:hAnsi="Aptos" w:eastAsia="Aptos"/>
          <w:b/>
          <w:color w:val="000000"/>
          <w:sz w:val="30"/>
        </w:rPr>
        <w:t>Hypothesis assessment map</w:t>
      </w:r>
    </w:p>
    <w:p>
      <w:pPr>
        <w:spacing w:after="100" w:line="259" w:lineRule="auto"/>
      </w:pPr>
      <w:r>
        <w:rPr>
          <w:rFonts w:ascii="Aptos" w:hAnsi="Aptos" w:eastAsia="Aptos"/>
          <w:color w:val="000000"/>
          <w:sz w:val="20"/>
        </w:rPr>
        <w:t>Confidence reflects only the two available interviews. High confidence here means strong agreement within this small sample, not population-level validation.</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605"/>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ID</w:t>
            </w:r>
          </w:p>
        </w:tc>
        <w:tc>
          <w:tcPr>
            <w:tcW w:type="dxa" w:w="2232"/>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Hypothesis</w:t>
            </w:r>
          </w:p>
        </w:tc>
        <w:tc>
          <w:tcPr>
            <w:tcW w:type="dxa" w:w="1296"/>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Status</w:t>
            </w:r>
          </w:p>
        </w:tc>
        <w:tc>
          <w:tcPr>
            <w:tcW w:type="dxa" w:w="3816"/>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Interview evidence</w:t>
            </w:r>
          </w:p>
        </w:tc>
        <w:tc>
          <w:tcPr>
            <w:tcW w:type="dxa" w:w="2232"/>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Product consequence</w:t>
            </w:r>
          </w:p>
        </w:tc>
      </w:tr>
      <w:tr>
        <w:trPr>
          <w:cantSplit w:val="true"/>
        </w:trPr>
        <w:tc>
          <w:tcPr>
            <w:tcW w:type="dxa" w:w="605"/>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5"/>
              </w:rPr>
              <w:t>H1</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5"/>
              </w:rPr>
              <w:t>Switching between work applications and AI interrupts knowledge work.</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2F0D9"/>
          </w:tcPr>
          <w:p>
            <w:pPr>
              <w:spacing w:after="0" w:line="240" w:lineRule="auto"/>
              <w:jc w:val="center"/>
            </w:pPr>
            <w:r>
              <w:rPr>
                <w:rFonts w:ascii="Aptos" w:hAnsi="Aptos" w:eastAsia="Aptos"/>
                <w:b w:val="0"/>
                <w:color w:val="000000"/>
                <w:sz w:val="15"/>
              </w:rPr>
              <w:t>Supported</w:t>
              <w:br/>
              <w:t>High</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5"/>
              </w:rPr>
              <w:t>Both participants identified switching and context transfer as friction. P2 described several hours of work across an RFP, Claude, Slack, and proposal files.</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5"/>
              </w:rPr>
              <w:t>Prioritize assistance inside the current application.</w:t>
            </w:r>
          </w:p>
        </w:tc>
      </w:tr>
      <w:tr>
        <w:trPr>
          <w:cantSplit w:val="true"/>
        </w:trPr>
        <w:tc>
          <w:tcPr>
            <w:tcW w:type="dxa" w:w="605"/>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5"/>
              </w:rPr>
              <w:t>H2</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5"/>
              </w:rPr>
              <w:t>Voice is faster or more natural than typing for target workflows.</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2CC"/>
          </w:tcPr>
          <w:p>
            <w:pPr>
              <w:spacing w:after="0" w:line="240" w:lineRule="auto"/>
              <w:jc w:val="center"/>
            </w:pPr>
            <w:r>
              <w:rPr>
                <w:rFonts w:ascii="Aptos" w:hAnsi="Aptos" w:eastAsia="Aptos"/>
                <w:b w:val="0"/>
                <w:color w:val="000000"/>
                <w:sz w:val="15"/>
              </w:rPr>
              <w:t>Mixed</w:t>
              <w:br/>
              <w:t>Medium</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5"/>
              </w:rPr>
              <w:t>P1 preferred typing and did not identify a voice use case. P2 preferred voice for reminders and post-meeting follow-ups but not for sensitive or exact information.</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5"/>
              </w:rPr>
              <w:t>Keep voice primary but preserve typed input.</w:t>
            </w:r>
          </w:p>
        </w:tc>
      </w:tr>
      <w:tr>
        <w:trPr>
          <w:cantSplit w:val="true"/>
        </w:trPr>
        <w:tc>
          <w:tcPr>
            <w:tcW w:type="dxa" w:w="605"/>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5"/>
              </w:rPr>
              <w:t>H3</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5"/>
              </w:rPr>
              <w:t>Users want AI help without leaving the application they are using.</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2F0D9"/>
          </w:tcPr>
          <w:p>
            <w:pPr>
              <w:spacing w:after="0" w:line="240" w:lineRule="auto"/>
              <w:jc w:val="center"/>
            </w:pPr>
            <w:r>
              <w:rPr>
                <w:rFonts w:ascii="Aptos" w:hAnsi="Aptos" w:eastAsia="Aptos"/>
                <w:b w:val="0"/>
                <w:color w:val="000000"/>
                <w:sz w:val="15"/>
              </w:rPr>
              <w:t>Supported</w:t>
              <w:br/>
              <w:t>High</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5"/>
              </w:rPr>
              <w:t>Both described copy-paste and app-switching workflows. P2 explicitly wanted direct placement in the correct channel and format.</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5"/>
              </w:rPr>
              <w:t>Make in-place assistance a core workflow.</w:t>
            </w:r>
          </w:p>
        </w:tc>
      </w:tr>
      <w:tr>
        <w:trPr>
          <w:cantSplit w:val="true"/>
        </w:trPr>
        <w:tc>
          <w:tcPr>
            <w:tcW w:type="dxa" w:w="605"/>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5"/>
              </w:rPr>
              <w:t>H4</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5"/>
              </w:rPr>
              <w:t>Using selected or active-window context reduces explanation effort.</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2F0D9"/>
          </w:tcPr>
          <w:p>
            <w:pPr>
              <w:spacing w:after="0" w:line="240" w:lineRule="auto"/>
              <w:jc w:val="center"/>
            </w:pPr>
            <w:r>
              <w:rPr>
                <w:rFonts w:ascii="Aptos" w:hAnsi="Aptos" w:eastAsia="Aptos"/>
                <w:b w:val="0"/>
                <w:color w:val="000000"/>
                <w:sz w:val="15"/>
              </w:rPr>
              <w:t>Supported</w:t>
              <w:br/>
              <w:t>Medium</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5"/>
              </w:rPr>
              <w:t>Both reported manual context explanation. Both permitted selected text; P2 permitted active-window access only when triggered.</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5"/>
              </w:rPr>
              <w:t>Use narrow, explicit context scopes.</w:t>
            </w:r>
          </w:p>
        </w:tc>
      </w:tr>
      <w:tr>
        <w:trPr>
          <w:cantSplit w:val="true"/>
        </w:trPr>
        <w:tc>
          <w:tcPr>
            <w:tcW w:type="dxa" w:w="605"/>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5"/>
              </w:rPr>
              <w:t>H5</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5"/>
              </w:rPr>
              <w:t>Users struggle to distinguish dictation from commands or actions.</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CE4D6"/>
          </w:tcPr>
          <w:p>
            <w:pPr>
              <w:spacing w:after="0" w:line="240" w:lineRule="auto"/>
              <w:jc w:val="center"/>
            </w:pPr>
            <w:r>
              <w:rPr>
                <w:rFonts w:ascii="Aptos" w:hAnsi="Aptos" w:eastAsia="Aptos"/>
                <w:b w:val="0"/>
                <w:color w:val="000000"/>
                <w:sz w:val="15"/>
              </w:rPr>
              <w:t>Not tested</w:t>
              <w:br/>
              <w:t>Low</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5"/>
              </w:rPr>
              <w:t>Neither interview produced evidence about confusion between dictation, questions, edits, and commands.</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5"/>
              </w:rPr>
              <w:t>Do not claim validation; test intent recognition in a prototype.</w:t>
            </w:r>
          </w:p>
        </w:tc>
      </w:tr>
      <w:tr>
        <w:trPr>
          <w:cantSplit w:val="true"/>
        </w:trPr>
        <w:tc>
          <w:tcPr>
            <w:tcW w:type="dxa" w:w="605"/>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5"/>
              </w:rPr>
              <w:t>H6</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5"/>
              </w:rPr>
              <w:t>Showing what Mull heard and decided increases trust.</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2CC"/>
          </w:tcPr>
          <w:p>
            <w:pPr>
              <w:spacing w:after="0" w:line="240" w:lineRule="auto"/>
              <w:jc w:val="center"/>
            </w:pPr>
            <w:r>
              <w:rPr>
                <w:rFonts w:ascii="Aptos" w:hAnsi="Aptos" w:eastAsia="Aptos"/>
                <w:b w:val="0"/>
                <w:color w:val="000000"/>
                <w:sz w:val="15"/>
              </w:rPr>
              <w:t>Partially supported</w:t>
              <w:br/>
              <w:t>Medium</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5"/>
              </w:rPr>
              <w:t>P2 valued interpretation and transcript for names and numbers, but both prioritized the actual proposed result.</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5"/>
              </w:rPr>
              <w:t>Make transcript and interpretation available but secondary.</w:t>
            </w:r>
          </w:p>
        </w:tc>
      </w:tr>
      <w:tr>
        <w:trPr>
          <w:cantSplit w:val="true"/>
        </w:trPr>
        <w:tc>
          <w:tcPr>
            <w:tcW w:type="dxa" w:w="605"/>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5"/>
              </w:rPr>
              <w:t>H7</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5"/>
              </w:rPr>
              <w:t>Exact previews increase willingness to approve AI-generated changes.</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2F0D9"/>
          </w:tcPr>
          <w:p>
            <w:pPr>
              <w:spacing w:after="0" w:line="240" w:lineRule="auto"/>
              <w:jc w:val="center"/>
            </w:pPr>
            <w:r>
              <w:rPr>
                <w:rFonts w:ascii="Aptos" w:hAnsi="Aptos" w:eastAsia="Aptos"/>
                <w:b w:val="0"/>
                <w:color w:val="000000"/>
                <w:sz w:val="15"/>
              </w:rPr>
              <w:t>Supported</w:t>
              <w:br/>
              <w:t>High</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5"/>
              </w:rPr>
              <w:t>Both wanted to review results. P2 requested full final text, highlighted differences, destination, recipients, and sensitive details.</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5"/>
              </w:rPr>
              <w:t>Make preview and diff the center of approval.</w:t>
            </w:r>
          </w:p>
        </w:tc>
      </w:tr>
      <w:tr>
        <w:trPr>
          <w:cantSplit w:val="true"/>
        </w:trPr>
        <w:tc>
          <w:tcPr>
            <w:tcW w:type="dxa" w:w="605"/>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5"/>
              </w:rPr>
              <w:t>H8</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5"/>
              </w:rPr>
              <w:t>A journal and reliable undo increase willingness to experiment.</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2CC"/>
          </w:tcPr>
          <w:p>
            <w:pPr>
              <w:spacing w:after="0" w:line="240" w:lineRule="auto"/>
              <w:jc w:val="center"/>
            </w:pPr>
            <w:r>
              <w:rPr>
                <w:rFonts w:ascii="Aptos" w:hAnsi="Aptos" w:eastAsia="Aptos"/>
                <w:b w:val="0"/>
                <w:color w:val="000000"/>
                <w:sz w:val="15"/>
              </w:rPr>
              <w:t>Mixed</w:t>
              <w:br/>
              <w:t>Low</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5"/>
              </w:rPr>
              <w:t>P1 was unsure. P2 considered history and revert important, while recognizing that already-visible communications cannot truly be undone.</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5"/>
              </w:rPr>
              <w:t>Retain journal and undo, but do not use undo as a substitute for approval.</w:t>
            </w:r>
          </w:p>
        </w:tc>
      </w:tr>
      <w:tr>
        <w:trPr>
          <w:cantSplit w:val="true"/>
        </w:trPr>
        <w:tc>
          <w:tcPr>
            <w:tcW w:type="dxa" w:w="605"/>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5"/>
              </w:rPr>
              <w:t>H9</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5"/>
              </w:rPr>
              <w:t>Users permit application control when steps and consequences are visible.</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2F0D9"/>
          </w:tcPr>
          <w:p>
            <w:pPr>
              <w:spacing w:after="0" w:line="240" w:lineRule="auto"/>
              <w:jc w:val="center"/>
            </w:pPr>
            <w:r>
              <w:rPr>
                <w:rFonts w:ascii="Aptos" w:hAnsi="Aptos" w:eastAsia="Aptos"/>
                <w:b w:val="0"/>
                <w:color w:val="000000"/>
                <w:sz w:val="15"/>
              </w:rPr>
              <w:t>Supported</w:t>
              <w:br/>
              <w:t>Medium</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5"/>
              </w:rPr>
              <w:t>P2 accepted controlled actions with approval and destination visibility. P1 wanted to review every result first.</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5"/>
              </w:rPr>
              <w:t>Require visible proposals before application writes.</w:t>
            </w:r>
          </w:p>
        </w:tc>
      </w:tr>
      <w:tr>
        <w:trPr>
          <w:cantSplit w:val="true"/>
        </w:trPr>
        <w:tc>
          <w:tcPr>
            <w:tcW w:type="dxa" w:w="605"/>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5"/>
              </w:rPr>
              <w:t>H10</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5"/>
              </w:rPr>
              <w:t>Different action types require different approval levels.</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2F0D9"/>
          </w:tcPr>
          <w:p>
            <w:pPr>
              <w:spacing w:after="0" w:line="240" w:lineRule="auto"/>
              <w:jc w:val="center"/>
            </w:pPr>
            <w:r>
              <w:rPr>
                <w:rFonts w:ascii="Aptos" w:hAnsi="Aptos" w:eastAsia="Aptos"/>
                <w:b w:val="0"/>
                <w:color w:val="000000"/>
                <w:sz w:val="15"/>
              </w:rPr>
              <w:t>Supported</w:t>
              <w:br/>
              <w:t>High</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5"/>
              </w:rPr>
              <w:t>P2 separated private summaries and formatting from sending, posting, tagging, invitations, and shared-system updates.</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5"/>
              </w:rPr>
              <w:t>Implement risk-based approval policies.</w:t>
            </w:r>
          </w:p>
        </w:tc>
      </w:tr>
      <w:tr>
        <w:trPr>
          <w:cantSplit w:val="true"/>
        </w:trPr>
        <w:tc>
          <w:tcPr>
            <w:tcW w:type="dxa" w:w="605"/>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5"/>
              </w:rPr>
              <w:t>H11</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5"/>
              </w:rPr>
              <w:t>Mull will become a repeated workflow rather than a novelty.</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2CC"/>
          </w:tcPr>
          <w:p>
            <w:pPr>
              <w:spacing w:after="0" w:line="240" w:lineRule="auto"/>
              <w:jc w:val="center"/>
            </w:pPr>
            <w:r>
              <w:rPr>
                <w:rFonts w:ascii="Aptos" w:hAnsi="Aptos" w:eastAsia="Aptos"/>
                <w:b w:val="0"/>
                <w:color w:val="000000"/>
                <w:sz w:val="15"/>
              </w:rPr>
              <w:t>Promising</w:t>
              <w:br/>
              <w:t>Low</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5"/>
              </w:rPr>
              <w:t>Both anticipated regular use; P2 identified daily workflows. No participant was observed using Mull repeatedly.</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5"/>
              </w:rPr>
              <w:t>Treat frequency claims as provisional until usage is measured.</w:t>
            </w:r>
          </w:p>
        </w:tc>
      </w:tr>
      <w:tr>
        <w:trPr>
          <w:cantSplit w:val="true"/>
        </w:trPr>
        <w:tc>
          <w:tcPr>
            <w:tcW w:type="dxa" w:w="605"/>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5"/>
              </w:rPr>
              <w:t>H12</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5"/>
              </w:rPr>
              <w:t>A defined customer segment will pay for Mull.</w:t>
            </w:r>
          </w:p>
        </w:tc>
        <w:tc>
          <w:tcPr>
            <w:tcW w:type="dxa" w:w="12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CE4D6"/>
          </w:tcPr>
          <w:p>
            <w:pPr>
              <w:spacing w:after="0" w:line="240" w:lineRule="auto"/>
              <w:jc w:val="center"/>
            </w:pPr>
            <w:r>
              <w:rPr>
                <w:rFonts w:ascii="Aptos" w:hAnsi="Aptos" w:eastAsia="Aptos"/>
                <w:b w:val="0"/>
                <w:color w:val="000000"/>
                <w:sz w:val="15"/>
              </w:rPr>
              <w:t>Insufficient</w:t>
              <w:br/>
              <w:t>Low</w:t>
            </w:r>
          </w:p>
        </w:tc>
        <w:tc>
          <w:tcPr>
            <w:tcW w:type="dxa" w:w="381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5"/>
              </w:rPr>
              <w:t>P2 preferred a team license and named a 45-to-60-minute daily saving threshold. No price or purchase decision was tested.</w:t>
            </w:r>
          </w:p>
        </w:tc>
        <w:tc>
          <w:tcPr>
            <w:tcW w:type="dxa" w:w="223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5"/>
              </w:rPr>
              <w:t>Do not claim willingness to pay yet.</w:t>
            </w:r>
          </w:p>
        </w:tc>
      </w:tr>
    </w:tbl>
    <w:p>
      <w:pPr>
        <w:spacing w:after="20"/>
      </w:pPr>
    </w:p>
    <w:p>
      <w:pPr>
        <w:pStyle w:val="Heading1"/>
        <w:keepNext/>
        <w:spacing w:before="240" w:after="100"/>
      </w:pPr>
      <w:r>
        <w:rPr>
          <w:rFonts w:ascii="Aptos" w:hAnsi="Aptos" w:eastAsia="Aptos"/>
          <w:b/>
          <w:color w:val="000000"/>
          <w:sz w:val="30"/>
        </w:rPr>
        <w:t>Evidence to decision trace</w:t>
      </w:r>
    </w:p>
    <w:p>
      <w:pPr>
        <w:spacing w:after="100" w:line="259" w:lineRule="auto"/>
      </w:pPr>
      <w:r>
        <w:rPr>
          <w:rFonts w:ascii="Aptos" w:hAnsi="Aptos" w:eastAsia="Aptos"/>
          <w:color w:val="000000"/>
          <w:sz w:val="20"/>
        </w:rPr>
        <w:t>Each decision below is linked to interview evidence. These decisions can be presented as research-driven changes rather than feature preferences.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936"/>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Decision</w:t>
            </w:r>
          </w:p>
        </w:tc>
        <w:tc>
          <w:tcPr>
            <w:tcW w:type="dxa" w:w="2664"/>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Finding</w:t>
            </w:r>
          </w:p>
        </w:tc>
        <w:tc>
          <w:tcPr>
            <w:tcW w:type="dxa" w:w="3096"/>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Evidence</w:t>
            </w:r>
          </w:p>
        </w:tc>
        <w:tc>
          <w:tcPr>
            <w:tcW w:type="dxa" w:w="3528"/>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Product decision</w:t>
            </w:r>
          </w:p>
        </w:tc>
      </w:tr>
      <w:tr>
        <w:trPr>
          <w:cantSplit w:val="true"/>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6"/>
              </w:rPr>
              <w:t>D1</w:t>
            </w:r>
          </w:p>
        </w:tc>
        <w:tc>
          <w:tcPr>
            <w:tcW w:type="dxa" w:w="266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Voice is useful but not universal.</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P1 preferred typing; P2 used voice selectively.</w:t>
            </w:r>
          </w:p>
        </w:tc>
        <w:tc>
          <w:tcPr>
            <w:tcW w:type="dxa" w:w="3528"/>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Support voice and typed commands as equal entry points.</w:t>
            </w:r>
          </w:p>
        </w:tc>
      </w:tr>
      <w:tr>
        <w:trPr>
          <w:cantSplit w:val="true"/>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6"/>
              </w:rPr>
              <w:t>D2</w:t>
            </w:r>
          </w:p>
        </w:tc>
        <w:tc>
          <w:tcPr>
            <w:tcW w:type="dxa" w:w="266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The visible consequence matters more than extended AI reasoning.</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Both prioritized the proposed result; P2 prioritized destination and recipients.</w:t>
            </w:r>
          </w:p>
        </w:tc>
        <w:tc>
          <w:tcPr>
            <w:tcW w:type="dxa" w:w="3528"/>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Show exact output, diff, destination, and recipients first. Place transcript and intent beneath them.</w:t>
            </w:r>
          </w:p>
        </w:tc>
      </w:tr>
      <w:tr>
        <w:trPr>
          <w:cantSplit w:val="true"/>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6"/>
              </w:rPr>
              <w:t>D3</w:t>
            </w:r>
          </w:p>
        </w:tc>
        <w:tc>
          <w:tcPr>
            <w:tcW w:type="dxa" w:w="266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Permission should be scoped to the immediate task.</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P1 allowed selected text only. P2 allowed selected text and triggered active-window access.</w:t>
            </w:r>
          </w:p>
        </w:tc>
        <w:tc>
          <w:tcPr>
            <w:tcW w:type="dxa" w:w="3528"/>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Default to selected text. Require explicit invocation for active-window context. Avoid continuous whole-screen access.</w:t>
            </w:r>
          </w:p>
        </w:tc>
      </w:tr>
      <w:tr>
        <w:trPr>
          <w:cantSplit w:val="true"/>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6"/>
              </w:rPr>
              <w:t>D4</w:t>
            </w:r>
          </w:p>
        </w:tc>
        <w:tc>
          <w:tcPr>
            <w:tcW w:type="dxa" w:w="266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External actions carry substantially greater risk than private assistance.</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P2 required approval for Slack, email, calendar, Jira, trackers, and shared documents.</w:t>
            </w:r>
          </w:p>
        </w:tc>
        <w:tc>
          <w:tcPr>
            <w:tcW w:type="dxa" w:w="3528"/>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Always confirm external writes and display where the action will occur.</w:t>
            </w:r>
          </w:p>
        </w:tc>
      </w:tr>
      <w:tr>
        <w:trPr>
          <w:cantSplit w:val="true"/>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6"/>
              </w:rPr>
              <w:t>D5</w:t>
            </w:r>
          </w:p>
        </w:tc>
        <w:tc>
          <w:tcPr>
            <w:tcW w:type="dxa" w:w="266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Undo does not protect against every consequence.</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P2 noted that a client may read a message before it can be reversed.</w:t>
            </w:r>
          </w:p>
        </w:tc>
        <w:tc>
          <w:tcPr>
            <w:tcW w:type="dxa" w:w="3528"/>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Use approval for irreversible or externally visible actions; use undo for reversible edits.</w:t>
            </w:r>
          </w:p>
        </w:tc>
      </w:tr>
      <w:tr>
        <w:trPr>
          <w:cantSplit w:val="true"/>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6"/>
              </w:rPr>
              <w:t>D6</w:t>
            </w:r>
          </w:p>
        </w:tc>
        <w:tc>
          <w:tcPr>
            <w:tcW w:type="dxa" w:w="266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Names, dates, IDs, commitments, and destinations are high-risk details.</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P2 described polished but incorrect summaries and misassigned updates.</w:t>
            </w:r>
          </w:p>
        </w:tc>
        <w:tc>
          <w:tcPr>
            <w:tcW w:type="dxa" w:w="3528"/>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Detect and highlight sensitive entities before approval.</w:t>
            </w:r>
          </w:p>
        </w:tc>
      </w:tr>
      <w:tr>
        <w:trPr>
          <w:cantSplit w:val="true"/>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6"/>
              </w:rPr>
              <w:t>D7</w:t>
            </w:r>
          </w:p>
        </w:tc>
        <w:tc>
          <w:tcPr>
            <w:tcW w:type="dxa" w:w="266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Enterprise context creates value and risk simultaneously.</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P2 wanted project memory but also required client confidentiality, security approval, and app blocking.</w:t>
            </w:r>
          </w:p>
        </w:tc>
        <w:tc>
          <w:tcPr>
            <w:tcW w:type="dxa" w:w="3528"/>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Make project context permissioned, inspectable, and separated by workspace or client.</w:t>
            </w:r>
          </w:p>
        </w:tc>
      </w:tr>
      <w:tr>
        <w:trPr>
          <w:cantSplit w:val="true"/>
        </w:trPr>
        <w:tc>
          <w:tcPr>
            <w:tcW w:type="dxa" w:w="9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6"/>
              </w:rPr>
              <w:t>D8</w:t>
            </w:r>
          </w:p>
        </w:tc>
        <w:tc>
          <w:tcPr>
            <w:tcW w:type="dxa" w:w="266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Mull must outperform copy-paste AI in workflow completion.</w:t>
            </w:r>
          </w:p>
        </w:tc>
        <w:tc>
          <w:tcPr>
            <w:tcW w:type="dxa" w:w="309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P2 expected direct placement in the correct format and location, not just generated text.</w:t>
            </w:r>
          </w:p>
        </w:tc>
        <w:tc>
          <w:tcPr>
            <w:tcW w:type="dxa" w:w="3528"/>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Evaluate Mull on completed workflow time, corrections, and safe placement rather than generation quality alone.</w:t>
            </w:r>
          </w:p>
        </w:tc>
      </w:tr>
    </w:tbl>
    <w:p>
      <w:pPr>
        <w:spacing w:after="20"/>
      </w:pPr>
    </w:p>
    <w:p>
      <w:pPr>
        <w:pStyle w:val="Heading1"/>
        <w:keepNext/>
        <w:spacing w:before="240" w:after="100"/>
      </w:pPr>
      <w:r>
        <w:rPr>
          <w:rFonts w:ascii="Aptos" w:hAnsi="Aptos" w:eastAsia="Aptos"/>
          <w:b/>
          <w:color w:val="000000"/>
          <w:sz w:val="30"/>
        </w:rPr>
        <w:t>Resulting approval model</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Action class</w:t>
            </w:r>
          </w:p>
        </w:tc>
        <w:tc>
          <w:tcPr>
            <w:tcW w:type="dxa" w:w="3024"/>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Examples</w:t>
            </w:r>
          </w:p>
        </w:tc>
        <w:tc>
          <w:tcPr>
            <w:tcW w:type="dxa" w:w="1944"/>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Risk</w:t>
            </w:r>
          </w:p>
        </w:tc>
        <w:tc>
          <w:tcPr>
            <w:tcW w:type="dxa" w:w="3672"/>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Evidence-backed behavior</w:t>
            </w:r>
          </w:p>
        </w:tc>
      </w:tr>
      <w:tr>
        <w:trPr>
          <w:cantSplit w:val="true"/>
        </w:trPr>
        <w:tc>
          <w:tcPr>
            <w:tcW w:type="dxa" w:w="158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6"/>
              </w:rPr>
              <w:t>Private read</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Summarize selected text or a document for the user</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No external effect</w:t>
            </w:r>
          </w:p>
        </w:tc>
        <w:tc>
          <w:tcPr>
            <w:tcW w:type="dxa" w:w="36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Run immediately; show the result</w:t>
            </w:r>
          </w:p>
        </w:tc>
      </w:tr>
      <w:tr>
        <w:trPr>
          <w:cantSplit w:val="true"/>
        </w:trPr>
        <w:tc>
          <w:tcPr>
            <w:tcW w:type="dxa" w:w="158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6"/>
              </w:rPr>
              <w:t>Private draft</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Rewrite selected text or create an unsent reply</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Reversible and private</w:t>
            </w:r>
          </w:p>
        </w:tc>
        <w:tc>
          <w:tcPr>
            <w:tcW w:type="dxa" w:w="36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Show diff; allow edit, accept, or reject</w:t>
            </w:r>
          </w:p>
        </w:tc>
      </w:tr>
      <w:tr>
        <w:trPr>
          <w:cantSplit w:val="true"/>
        </w:trPr>
        <w:tc>
          <w:tcPr>
            <w:tcW w:type="dxa" w:w="158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6"/>
              </w:rPr>
              <w:t>Shared update</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Change Jira, a tracker, Confluence, or a shared document</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Visible to others</w:t>
            </w:r>
          </w:p>
        </w:tc>
        <w:tc>
          <w:tcPr>
            <w:tcW w:type="dxa" w:w="36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Always confirm target and exact change</w:t>
            </w:r>
          </w:p>
        </w:tc>
      </w:tr>
      <w:tr>
        <w:trPr>
          <w:cantSplit w:val="true"/>
        </w:trPr>
        <w:tc>
          <w:tcPr>
            <w:tcW w:type="dxa" w:w="158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6"/>
              </w:rPr>
              <w:t>External communication</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Send email, post to Slack, tag a person, or invite attendees</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Potentially irreversible</w:t>
            </w:r>
          </w:p>
        </w:tc>
        <w:tc>
          <w:tcPr>
            <w:tcW w:type="dxa" w:w="36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6"/>
              </w:rPr>
              <w:t>Always confirm content, destination, and recipients</w:t>
            </w:r>
          </w:p>
        </w:tc>
      </w:tr>
      <w:tr>
        <w:trPr>
          <w:cantSplit w:val="true"/>
        </w:trPr>
        <w:tc>
          <w:tcPr>
            <w:tcW w:type="dxa" w:w="158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6"/>
              </w:rPr>
              <w:t>Sensitive action</w:t>
            </w:r>
          </w:p>
        </w:tc>
        <w:tc>
          <w:tcPr>
            <w:tcW w:type="dxa" w:w="302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HR, finance, contracts, rates, or personnel information</w:t>
            </w:r>
          </w:p>
        </w:tc>
        <w:tc>
          <w:tcPr>
            <w:tcW w:type="dxa" w:w="1944"/>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High confidentiality impact</w:t>
            </w:r>
          </w:p>
        </w:tc>
        <w:tc>
          <w:tcPr>
            <w:tcW w:type="dxa" w:w="36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6"/>
              </w:rPr>
              <w:t>Block by default or require explicit policy enablement</w:t>
            </w:r>
          </w:p>
        </w:tc>
      </w:tr>
    </w:tbl>
    <w:p>
      <w:pPr>
        <w:spacing w:after="20"/>
      </w:pPr>
    </w:p>
    <w:p>
      <w:pPr>
        <w:pStyle w:val="Heading1"/>
        <w:keepNext/>
        <w:spacing w:before="240" w:after="100"/>
      </w:pPr>
      <w:r>
        <w:rPr>
          <w:rFonts w:ascii="Aptos" w:hAnsi="Aptos" w:eastAsia="Aptos"/>
          <w:b/>
          <w:color w:val="000000"/>
          <w:sz w:val="30"/>
        </w:rPr>
        <w:t>Contradictions and unresolved evidence</w:t>
      </w:r>
    </w:p>
    <w:p>
      <w:pPr>
        <w:spacing w:after="100" w:line="259" w:lineRule="auto"/>
      </w:pPr>
      <w:r>
        <w:rPr>
          <w:rFonts w:ascii="Aptos" w:hAnsi="Aptos" w:eastAsia="Aptos"/>
          <w:color w:val="000000"/>
          <w:sz w:val="20"/>
        </w:rPr>
        <w:t>Negative and contradictory findings are retained because they define where the current product claim must remain narrow.</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Area</w:t>
            </w:r>
          </w:p>
        </w:tc>
        <w:tc>
          <w:tcPr>
            <w:tcW w:type="dxa" w:w="4392"/>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Current evidence</w:t>
            </w:r>
          </w:p>
        </w:tc>
        <w:tc>
          <w:tcPr>
            <w:tcW w:type="dxa" w:w="3960"/>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Claim limitation</w:t>
            </w:r>
          </w:p>
        </w:tc>
      </w:tr>
      <w:tr>
        <w:trPr>
          <w:cantSplit w:val="true"/>
        </w:trPr>
        <w:tc>
          <w:tcPr>
            <w:tcW w:type="dxa" w:w="18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7"/>
              </w:rPr>
              <w:t>Voice preference</w:t>
            </w:r>
          </w:p>
        </w:tc>
        <w:tc>
          <w:tcPr>
            <w:tcW w:type="dxa" w:w="439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One participant rejected voice while the other found it valuable for frequent short tasks.</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Mull cannot yet claim that target users broadly prefer voice.</w:t>
            </w:r>
          </w:p>
        </w:tc>
      </w:tr>
      <w:tr>
        <w:trPr>
          <w:cantSplit w:val="true"/>
        </w:trPr>
        <w:tc>
          <w:tcPr>
            <w:tcW w:type="dxa" w:w="18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7"/>
              </w:rPr>
              <w:t>Journal value</w:t>
            </w:r>
          </w:p>
        </w:tc>
        <w:tc>
          <w:tcPr>
            <w:tcW w:type="dxa" w:w="439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One participant was unsure; the other considered it essential.</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The journal should remain in the trust model, but its actual usage needs observation.</w:t>
            </w:r>
          </w:p>
        </w:tc>
      </w:tr>
      <w:tr>
        <w:trPr>
          <w:cantSplit w:val="true"/>
        </w:trPr>
        <w:tc>
          <w:tcPr>
            <w:tcW w:type="dxa" w:w="18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7"/>
              </w:rPr>
              <w:t>Intent legibility</w:t>
            </w:r>
          </w:p>
        </w:tc>
        <w:tc>
          <w:tcPr>
            <w:tcW w:type="dxa" w:w="439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No participant tested whether Mull correctly separates dictation, questions, edits, and actions.</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The core intent-classification claim remains unvalidated.</w:t>
            </w:r>
          </w:p>
        </w:tc>
      </w:tr>
      <w:tr>
        <w:trPr>
          <w:cantSplit w:val="true"/>
        </w:trPr>
        <w:tc>
          <w:tcPr>
            <w:tcW w:type="dxa" w:w="18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7"/>
              </w:rPr>
              <w:t>Usability</w:t>
            </w:r>
          </w:p>
        </w:tc>
        <w:tc>
          <w:tcPr>
            <w:tcW w:type="dxa" w:w="439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Participants discussed the concept but were not observed completing a controlled task.</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Ease of use, approval comprehension, and recovery success remain unknown.</w:t>
            </w:r>
          </w:p>
        </w:tc>
      </w:tr>
      <w:tr>
        <w:trPr>
          <w:cantSplit w:val="true"/>
        </w:trPr>
        <w:tc>
          <w:tcPr>
            <w:tcW w:type="dxa" w:w="18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7"/>
              </w:rPr>
              <w:t>Adoption</w:t>
            </w:r>
          </w:p>
        </w:tc>
        <w:tc>
          <w:tcPr>
            <w:tcW w:type="dxa" w:w="439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Participants predicted regular use, but no longitudinal usage exists.</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Repeated-use claims remain speculative.</w:t>
            </w:r>
          </w:p>
        </w:tc>
      </w:tr>
      <w:tr>
        <w:trPr>
          <w:cantSplit w:val="true"/>
        </w:trPr>
        <w:tc>
          <w:tcPr>
            <w:tcW w:type="dxa" w:w="18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7"/>
              </w:rPr>
              <w:t>Commercial demand</w:t>
            </w:r>
          </w:p>
        </w:tc>
        <w:tc>
          <w:tcPr>
            <w:tcW w:type="dxa" w:w="439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A team license was preferred by one participant, but no price was tested.</w:t>
            </w:r>
          </w:p>
        </w:tc>
        <w:tc>
          <w:tcPr>
            <w:tcW w:type="dxa" w:w="396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Willingness to pay and the buying decision-maker remain unresolved.</w:t>
            </w:r>
          </w:p>
        </w:tc>
      </w:tr>
    </w:tbl>
    <w:p>
      <w:pPr>
        <w:spacing w:after="20"/>
      </w:pPr>
    </w:p>
    <w:p>
      <w:pPr>
        <w:pStyle w:val="Heading1"/>
        <w:keepNext/>
        <w:spacing w:before="240" w:after="100"/>
      </w:pPr>
      <w:r>
        <w:rPr>
          <w:rFonts w:ascii="Aptos" w:hAnsi="Aptos" w:eastAsia="Aptos"/>
          <w:b/>
          <w:color w:val="000000"/>
          <w:sz w:val="30"/>
        </w:rPr>
        <w:t>Permitted claims from current evidence</w:t>
      </w:r>
    </w:p>
    <w:p>
      <w:pPr>
        <w:pStyle w:val="ListBullet"/>
        <w:spacing w:after="50" w:line="250" w:lineRule="auto"/>
      </w:pPr>
      <w:r>
        <w:rPr>
          <w:rFonts w:ascii="Aptos" w:hAnsi="Aptos" w:eastAsia="Aptos"/>
          <w:color w:val="000000"/>
          <w:sz w:val="20"/>
        </w:rPr>
        <w:t>Users experience meaningful friction when transferring context between work applications and AI assistants.</w:t>
      </w:r>
    </w:p>
    <w:p>
      <w:pPr>
        <w:pStyle w:val="ListBullet"/>
        <w:spacing w:after="50" w:line="250" w:lineRule="auto"/>
      </w:pPr>
      <w:r>
        <w:rPr>
          <w:rFonts w:ascii="Aptos" w:hAnsi="Aptos" w:eastAsia="Aptos"/>
          <w:color w:val="000000"/>
          <w:sz w:val="20"/>
        </w:rPr>
        <w:t>Users want to inspect the exact result before Mull performs an externally visible action.</w:t>
      </w:r>
    </w:p>
    <w:p>
      <w:pPr>
        <w:pStyle w:val="ListBullet"/>
        <w:spacing w:after="50" w:line="250" w:lineRule="auto"/>
      </w:pPr>
      <w:r>
        <w:rPr>
          <w:rFonts w:ascii="Aptos" w:hAnsi="Aptos" w:eastAsia="Aptos"/>
          <w:color w:val="000000"/>
          <w:sz w:val="20"/>
        </w:rPr>
        <w:t>Voice can accelerate short operational workflows, but privacy and precision constrain where it is appropriate.</w:t>
      </w:r>
    </w:p>
    <w:p>
      <w:pPr>
        <w:pStyle w:val="ListBullet"/>
        <w:spacing w:after="50" w:line="250" w:lineRule="auto"/>
      </w:pPr>
      <w:r>
        <w:rPr>
          <w:rFonts w:ascii="Aptos" w:hAnsi="Aptos" w:eastAsia="Aptos"/>
          <w:color w:val="000000"/>
          <w:sz w:val="20"/>
        </w:rPr>
        <w:t>Selected-text and explicitly triggered active-window access are more acceptable than continuous broad screen access.</w:t>
      </w:r>
    </w:p>
    <w:p>
      <w:pPr>
        <w:pStyle w:val="ListBullet"/>
        <w:spacing w:after="50" w:line="250" w:lineRule="auto"/>
      </w:pPr>
      <w:r>
        <w:rPr>
          <w:rFonts w:ascii="Aptos" w:hAnsi="Aptos" w:eastAsia="Aptos"/>
          <w:color w:val="000000"/>
          <w:sz w:val="20"/>
        </w:rPr>
        <w:t>Approval requirements vary according to the consequence and reversibility of an action.</w:t>
      </w:r>
    </w:p>
    <w:p>
      <w:pPr>
        <w:pStyle w:val="Heading1"/>
        <w:keepNext/>
        <w:spacing w:before="240" w:after="100"/>
      </w:pPr>
      <w:r>
        <w:rPr>
          <w:rFonts w:ascii="Aptos" w:hAnsi="Aptos" w:eastAsia="Aptos"/>
          <w:b/>
          <w:color w:val="000000"/>
          <w:sz w:val="30"/>
        </w:rPr>
        <w:t>Claims not yet supported</w:t>
      </w:r>
    </w:p>
    <w:p>
      <w:pPr>
        <w:pStyle w:val="ListBullet"/>
        <w:spacing w:after="50" w:line="250" w:lineRule="auto"/>
      </w:pPr>
      <w:r>
        <w:rPr>
          <w:rFonts w:ascii="Aptos" w:hAnsi="Aptos" w:eastAsia="Aptos"/>
          <w:color w:val="000000"/>
          <w:sz w:val="20"/>
        </w:rPr>
        <w:t>Most users prefer voice over typing.</w:t>
      </w:r>
    </w:p>
    <w:p>
      <w:pPr>
        <w:pStyle w:val="ListBullet"/>
        <w:spacing w:after="50" w:line="250" w:lineRule="auto"/>
      </w:pPr>
      <w:r>
        <w:rPr>
          <w:rFonts w:ascii="Aptos" w:hAnsi="Aptos" w:eastAsia="Aptos"/>
          <w:color w:val="000000"/>
          <w:sz w:val="20"/>
        </w:rPr>
        <w:t>Mull's transcript and intent display measurably increase trust.</w:t>
      </w:r>
    </w:p>
    <w:p>
      <w:pPr>
        <w:pStyle w:val="ListBullet"/>
        <w:spacing w:after="50" w:line="250" w:lineRule="auto"/>
      </w:pPr>
      <w:r>
        <w:rPr>
          <w:rFonts w:ascii="Aptos" w:hAnsi="Aptos" w:eastAsia="Aptos"/>
          <w:color w:val="000000"/>
          <w:sz w:val="20"/>
        </w:rPr>
        <w:t>Users can reliably detect and recover from Mull's mistakes.</w:t>
      </w:r>
    </w:p>
    <w:p>
      <w:pPr>
        <w:pStyle w:val="ListBullet"/>
        <w:spacing w:after="50" w:line="250" w:lineRule="auto"/>
      </w:pPr>
      <w:r>
        <w:rPr>
          <w:rFonts w:ascii="Aptos" w:hAnsi="Aptos" w:eastAsia="Aptos"/>
          <w:color w:val="000000"/>
          <w:sz w:val="20"/>
        </w:rPr>
        <w:t>Mull saves a verified amount of time in real work.</w:t>
      </w:r>
    </w:p>
    <w:p>
      <w:pPr>
        <w:pStyle w:val="ListBullet"/>
        <w:spacing w:after="50" w:line="250" w:lineRule="auto"/>
      </w:pPr>
      <w:r>
        <w:rPr>
          <w:rFonts w:ascii="Aptos" w:hAnsi="Aptos" w:eastAsia="Aptos"/>
          <w:color w:val="000000"/>
          <w:sz w:val="20"/>
        </w:rPr>
        <w:t>Individuals or teams will pay a particular price for Mull.</w:t>
      </w:r>
    </w:p>
    <w:p>
      <w:pPr>
        <w:pStyle w:val="Heading1"/>
        <w:keepNext/>
        <w:spacing w:before="240" w:after="100"/>
      </w:pPr>
      <w:r>
        <w:rPr>
          <w:rFonts w:ascii="Aptos" w:hAnsi="Aptos" w:eastAsia="Aptos"/>
          <w:b/>
          <w:color w:val="000000"/>
          <w:sz w:val="30"/>
        </w:rPr>
        <w:t>Traceability index</w:t>
      </w:r>
    </w:p>
    <w:p>
      <w:pPr>
        <w:spacing w:after="100" w:line="259" w:lineRule="auto"/>
      </w:pPr>
      <w:r>
        <w:rPr>
          <w:rFonts w:ascii="Aptos" w:hAnsi="Aptos" w:eastAsia="Aptos"/>
          <w:color w:val="000000"/>
          <w:sz w:val="20"/>
        </w:rPr>
        <w:t>This index links each current product conclusion to its underlying hypotheses and interview evidence.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672"/>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Conclusion</w:t>
            </w:r>
          </w:p>
        </w:tc>
        <w:tc>
          <w:tcPr>
            <w:tcW w:type="dxa" w:w="1440"/>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Hypotheses</w:t>
            </w:r>
          </w:p>
        </w:tc>
        <w:tc>
          <w:tcPr>
            <w:tcW w:type="dxa" w:w="2376"/>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Evidence source</w:t>
            </w:r>
          </w:p>
        </w:tc>
        <w:tc>
          <w:tcPr>
            <w:tcW w:type="dxa" w:w="2736"/>
            <w:shd w:fill="17365D"/>
            <w:tcBorders>
              <w:top w:val="single" w:sz="5" w:color="D9D9D9"/>
              <w:left w:val="single" w:sz="5" w:color="D9D9D9"/>
              <w:bottom w:val="single" w:sz="5" w:color="D9D9D9"/>
              <w:right w:val="single" w:sz="5" w:color="D9D9D9"/>
              <w:insideH w:val="single" w:sz="5" w:color="D9D9D9"/>
              <w:insideV w:val="single" w:sz="5" w:color="D9D9D9"/>
            </w:tcBorders>
            <w:tcMar>
              <w:top w:w="95" w:type="dxa"/>
              <w:start w:w="100" w:type="dxa"/>
              <w:bottom w:w="95" w:type="dxa"/>
              <w:end w:w="100" w:type="dxa"/>
            </w:tcMar>
            <w:vAlign w:val="center"/>
          </w:tcPr>
          <w:p>
            <w:pPr>
              <w:spacing w:after="0"/>
              <w:jc w:val="center"/>
            </w:pPr>
            <w:r>
              <w:rPr>
                <w:rFonts w:ascii="Aptos" w:hAnsi="Aptos" w:eastAsia="Aptos"/>
                <w:b/>
                <w:color w:val="FFFFFF"/>
                <w:sz w:val="17"/>
              </w:rPr>
              <w:t>Strength</w:t>
            </w:r>
          </w:p>
        </w:tc>
      </w:tr>
      <w:tr>
        <w:trPr>
          <w:cantSplit w:val="true"/>
        </w:trPr>
        <w:tc>
          <w:tcPr>
            <w:tcW w:type="dxa" w:w="36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7"/>
              </w:rPr>
              <w:t>In-context assistance is the primary value</w:t>
            </w:r>
          </w:p>
        </w:tc>
        <w:tc>
          <w:tcPr>
            <w:tcW w:type="dxa" w:w="144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H1, H3, H4</w:t>
            </w:r>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P1 and P2</w:t>
            </w:r>
          </w:p>
        </w:tc>
        <w:tc>
          <w:tcPr>
            <w:tcW w:type="dxa" w:w="27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Supported</w:t>
            </w:r>
          </w:p>
        </w:tc>
      </w:tr>
      <w:tr>
        <w:trPr>
          <w:cantSplit w:val="true"/>
        </w:trPr>
        <w:tc>
          <w:tcPr>
            <w:tcW w:type="dxa" w:w="36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7"/>
              </w:rPr>
              <w:t>Voice must be complemented by typing</w:t>
            </w:r>
          </w:p>
        </w:tc>
        <w:tc>
          <w:tcPr>
            <w:tcW w:type="dxa" w:w="144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H2</w:t>
            </w:r>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P1 and P2</w:t>
            </w:r>
          </w:p>
        </w:tc>
        <w:tc>
          <w:tcPr>
            <w:tcW w:type="dxa" w:w="27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Mixed evidence, clear design consequence</w:t>
            </w:r>
          </w:p>
        </w:tc>
      </w:tr>
      <w:tr>
        <w:trPr>
          <w:cantSplit w:val="true"/>
        </w:trPr>
        <w:tc>
          <w:tcPr>
            <w:tcW w:type="dxa" w:w="36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7"/>
              </w:rPr>
              <w:t>Proposal and destination lead the trust interface</w:t>
            </w:r>
          </w:p>
        </w:tc>
        <w:tc>
          <w:tcPr>
            <w:tcW w:type="dxa" w:w="144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H6, H7</w:t>
            </w:r>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P1 and P2</w:t>
            </w:r>
          </w:p>
        </w:tc>
        <w:tc>
          <w:tcPr>
            <w:tcW w:type="dxa" w:w="27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Supported</w:t>
            </w:r>
          </w:p>
        </w:tc>
      </w:tr>
      <w:tr>
        <w:trPr>
          <w:cantSplit w:val="true"/>
        </w:trPr>
        <w:tc>
          <w:tcPr>
            <w:tcW w:type="dxa" w:w="36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7"/>
              </w:rPr>
              <w:t>Context access is narrow and user-triggered</w:t>
            </w:r>
          </w:p>
        </w:tc>
        <w:tc>
          <w:tcPr>
            <w:tcW w:type="dxa" w:w="144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H4</w:t>
            </w:r>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P1 and P2</w:t>
            </w:r>
          </w:p>
        </w:tc>
        <w:tc>
          <w:tcPr>
            <w:tcW w:type="dxa" w:w="27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Supported</w:t>
            </w:r>
          </w:p>
        </w:tc>
      </w:tr>
      <w:tr>
        <w:trPr>
          <w:cantSplit w:val="true"/>
        </w:trPr>
        <w:tc>
          <w:tcPr>
            <w:tcW w:type="dxa" w:w="36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7"/>
              </w:rPr>
              <w:t>External actions always require approval</w:t>
            </w:r>
          </w:p>
        </w:tc>
        <w:tc>
          <w:tcPr>
            <w:tcW w:type="dxa" w:w="144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H9, H10</w:t>
            </w:r>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P1 and P2</w:t>
            </w:r>
          </w:p>
        </w:tc>
        <w:tc>
          <w:tcPr>
            <w:tcW w:type="dxa" w:w="27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Supported</w:t>
            </w:r>
          </w:p>
        </w:tc>
      </w:tr>
      <w:tr>
        <w:trPr>
          <w:cantSplit w:val="true"/>
        </w:trPr>
        <w:tc>
          <w:tcPr>
            <w:tcW w:type="dxa" w:w="36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7"/>
              </w:rPr>
              <w:t>Journal supports accountability and reversible edits</w:t>
            </w:r>
          </w:p>
        </w:tc>
        <w:tc>
          <w:tcPr>
            <w:tcW w:type="dxa" w:w="144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H8</w:t>
            </w:r>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Primarily P2</w:t>
            </w:r>
          </w:p>
        </w:tc>
        <w:tc>
          <w:tcPr>
            <w:tcW w:type="dxa" w:w="27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Partial</w:t>
            </w:r>
          </w:p>
        </w:tc>
      </w:tr>
      <w:tr>
        <w:trPr>
          <w:cantSplit w:val="true"/>
        </w:trPr>
        <w:tc>
          <w:tcPr>
            <w:tcW w:type="dxa" w:w="36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7"/>
              </w:rPr>
              <w:t>Sensitive entities require explicit validation</w:t>
            </w:r>
          </w:p>
        </w:tc>
        <w:tc>
          <w:tcPr>
            <w:tcW w:type="dxa" w:w="144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H7, H9</w:t>
            </w:r>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Primarily P2</w:t>
            </w:r>
          </w:p>
        </w:tc>
        <w:tc>
          <w:tcPr>
            <w:tcW w:type="dxa" w:w="27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Supported by risk evidence</w:t>
            </w:r>
          </w:p>
        </w:tc>
      </w:tr>
      <w:tr>
        <w:trPr>
          <w:cantSplit w:val="true"/>
        </w:trPr>
        <w:tc>
          <w:tcPr>
            <w:tcW w:type="dxa" w:w="36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7"/>
              </w:rPr>
              <w:t>Project memory must be permissioned</w:t>
            </w:r>
          </w:p>
        </w:tc>
        <w:tc>
          <w:tcPr>
            <w:tcW w:type="dxa" w:w="144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H4, H11</w:t>
            </w:r>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Primarily P2</w:t>
            </w:r>
          </w:p>
        </w:tc>
        <w:tc>
          <w:tcPr>
            <w:tcW w:type="dxa" w:w="27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Promising, not behaviorally validated</w:t>
            </w:r>
          </w:p>
        </w:tc>
      </w:tr>
      <w:tr>
        <w:trPr>
          <w:cantSplit w:val="true"/>
        </w:trPr>
        <w:tc>
          <w:tcPr>
            <w:tcW w:type="dxa" w:w="36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jc w:val="center"/>
            </w:pPr>
            <w:r>
              <w:rPr>
                <w:rFonts w:ascii="Aptos" w:hAnsi="Aptos" w:eastAsia="Aptos"/>
                <w:b/>
                <w:color w:val="000000"/>
                <w:sz w:val="17"/>
              </w:rPr>
              <w:t>Regular adoption is likely</w:t>
            </w:r>
          </w:p>
        </w:tc>
        <w:tc>
          <w:tcPr>
            <w:tcW w:type="dxa" w:w="144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H11</w:t>
            </w:r>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P1 and P2 self-report</w:t>
            </w:r>
          </w:p>
        </w:tc>
        <w:tc>
          <w:tcPr>
            <w:tcW w:type="dxa" w:w="27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FFFFFF"/>
          </w:tcPr>
          <w:p>
            <w:pPr>
              <w:spacing w:after="0" w:line="240" w:lineRule="auto"/>
            </w:pPr>
            <w:r>
              <w:rPr>
                <w:rFonts w:ascii="Aptos" w:hAnsi="Aptos" w:eastAsia="Aptos"/>
                <w:b w:val="0"/>
                <w:color w:val="000000"/>
                <w:sz w:val="17"/>
              </w:rPr>
              <w:t>Unvalidated</w:t>
            </w:r>
          </w:p>
        </w:tc>
      </w:tr>
      <w:tr>
        <w:trPr>
          <w:cantSplit w:val="true"/>
        </w:trPr>
        <w:tc>
          <w:tcPr>
            <w:tcW w:type="dxa" w:w="3672"/>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jc w:val="center"/>
            </w:pPr>
            <w:r>
              <w:rPr>
                <w:rFonts w:ascii="Aptos" w:hAnsi="Aptos" w:eastAsia="Aptos"/>
                <w:b/>
                <w:color w:val="000000"/>
                <w:sz w:val="17"/>
              </w:rPr>
              <w:t>A team customer will pay</w:t>
            </w:r>
          </w:p>
        </w:tc>
        <w:tc>
          <w:tcPr>
            <w:tcW w:type="dxa" w:w="1440"/>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H12</w:t>
            </w:r>
          </w:p>
        </w:tc>
        <w:tc>
          <w:tcPr>
            <w:tcW w:type="dxa" w:w="237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P2 only</w:t>
            </w:r>
          </w:p>
        </w:tc>
        <w:tc>
          <w:tcPr>
            <w:tcW w:type="dxa" w:w="2736"/>
            <w:tcBorders>
              <w:top w:val="single" w:sz="5" w:color="D9D9D9"/>
              <w:left w:val="single" w:sz="5" w:color="D9D9D9"/>
              <w:bottom w:val="single" w:sz="5" w:color="D9D9D9"/>
              <w:right w:val="single" w:sz="5" w:color="D9D9D9"/>
              <w:insideH w:val="single" w:sz="5" w:color="D9D9D9"/>
              <w:insideV w:val="single" w:sz="5" w:color="D9D9D9"/>
            </w:tcBorders>
            <w:tcMar>
              <w:top w:w="85" w:type="dxa"/>
              <w:start w:w="95" w:type="dxa"/>
              <w:bottom w:w="85" w:type="dxa"/>
              <w:end w:w="95" w:type="dxa"/>
            </w:tcMar>
            <w:vAlign w:val="center"/>
            <w:shd w:fill="EAF2F8"/>
          </w:tcPr>
          <w:p>
            <w:pPr>
              <w:spacing w:after="0" w:line="240" w:lineRule="auto"/>
            </w:pPr>
            <w:r>
              <w:rPr>
                <w:rFonts w:ascii="Aptos" w:hAnsi="Aptos" w:eastAsia="Aptos"/>
                <w:b w:val="0"/>
                <w:color w:val="000000"/>
                <w:sz w:val="17"/>
              </w:rPr>
              <w:t>Insufficient</w:t>
            </w:r>
          </w:p>
        </w:tc>
      </w:tr>
    </w:tbl>
    <w:p>
      <w:pPr>
        <w:spacing w:after="20"/>
      </w:pPr>
    </w:p>
    <w:p>
      <w:pPr>
        <w:pStyle w:val="Heading1"/>
        <w:keepNext/>
        <w:spacing w:before="240" w:after="100"/>
      </w:pPr>
      <w:r>
        <w:rPr>
          <w:rFonts w:ascii="Aptos" w:hAnsi="Aptos" w:eastAsia="Aptos"/>
          <w:b/>
          <w:color w:val="000000"/>
          <w:sz w:val="30"/>
        </w:rPr>
        <w:t>Research record</w:t>
      </w:r>
    </w:p>
    <w:p>
      <w:pPr>
        <w:spacing w:after="100" w:line="259" w:lineRule="auto"/>
      </w:pPr>
      <w:r>
        <w:rPr>
          <w:rFonts w:ascii="Aptos" w:hAnsi="Aptos" w:eastAsia="Aptos"/>
          <w:color w:val="000000"/>
          <w:sz w:val="20"/>
        </w:rPr>
        <w:t>Participant identifiers are anonymized as P1 and P2 in this document. Findings are based on interview responses supplied for the Mull product research. Product interpretations are separated from direct evidence, and unsupported commercial or usability claims are explicitly marked as unresolved.</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7085"/>
        <w:sz w:val="17"/>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Label">
    <w:name w:val="Evidence Label"/>
    <w:rPr>
      <w:rFonts w:ascii="Aptos" w:hAnsi="Aptos"/>
      <w:b/>
      <w:color w:val="17365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Mull Evidence and Hypothesis Map</dc:title>
  <dc:subject>User interview evidence, hypothesis assessment, and decision traceability</dc:subject>
  <dc:creator>Lay Naik</dc:creator>
  <cp:keywords/>
  <dc:description>generated by python-docx</dc:description>
  <cp:lastModifiedBy/>
  <cp:revision>1</cp:revision>
  <dcterms:created xsi:type="dcterms:W3CDTF">2013-12-23T23:15:00Z</dcterms:created>
  <dcterms:modified xsi:type="dcterms:W3CDTF">2013-12-23T23:15:00Z</dcterms:modified>
  <cp:category/>
</cp:coreProperties>
</file>