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website-api-v2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Issue</w:t>
      </w:r>
      <w:r>
        <w:t xml:space="preserve"> </w:t>
      </w:r>
      <w:r>
        <w:t xml:space="preserve">5</w:t>
      </w:r>
      <w:r>
        <w:t xml:space="preserve"> </w:t>
      </w:r>
      <w:r>
        <w:t xml:space="preserve">·</w:t>
      </w:r>
      <w:r>
        <w:t xml:space="preserve"> </w:t>
      </w:r>
      <w:r>
        <w:t xml:space="preserve">29</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address for Website API v2,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StudySearch-Website-API-v2.openapi.json</w:t>
            </w:r>
            <w:r>
              <w:t xml:space="preserve"> </w:t>
            </w:r>
            <w:r>
              <w:t xml:space="preserve">(OpenAPI 3.1) and</w:t>
            </w:r>
            <w:r>
              <w:t xml:space="preserve"> </w:t>
            </w:r>
            <w:r>
              <w:rPr>
                <w:rStyle w:val="VerbatimChar"/>
              </w:rPr>
              <w:t xml:space="preserve">StudySearch-Website-API-v2.postman_collection.json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v2. Ignore fields you do not use. A breaking change would come as</w:t>
      </w:r>
      <w:r>
        <w:t xml:space="preserve"> </w:t>
      </w:r>
      <w:r>
        <w:rPr>
          <w:rStyle w:val="VerbatimChar"/>
        </w:rPr>
        <w:t xml:space="preserve">website-api-v3</w:t>
      </w:r>
      <w:r>
        <w:t xml:space="preserve"> </w:t>
      </w:r>
      <w:r>
        <w:t xml:space="preserve">at a new address, with its own guide, and v2 would keep running alongside it.</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https://fxcwkweaxjtknorudmwp.supabase.co/functions/v1/website-api-v2</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 an</w:t>
      </w:r>
      <w:r>
        <w:t xml:space="preserve"> </w:t>
      </w:r>
      <w:r>
        <w:rPr>
          <w:rStyle w:val="VerbatimChar"/>
        </w:rPr>
        <w:t xml:space="preserve">action</w:t>
      </w:r>
      <w:r>
        <w:t xml:space="preserve">. There is no</w:t>
      </w:r>
      <w:r>
        <w:t xml:space="preserve"> </w:t>
      </w:r>
      <w:r>
        <w:rPr>
          <w:rStyle w:val="VerbatimChar"/>
        </w:rPr>
        <w:t xml:space="preserve">contract</w:t>
      </w:r>
      <w:r>
        <w:t xml:space="preserve"> </w:t>
      </w:r>
      <w:r>
        <w:t xml:space="preserve">field: the address is the version.</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300 requests a minute, all actions together</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address only. If a key is exposed, tell us: we disable it and issue a new one (a key cannot be recovered, only replaced).</w:t>
      </w:r>
    </w:p>
    <w:p>
      <w:pPr>
        <w:pStyle w:val="FirstParagraph"/>
      </w:pPr>
      <w:r>
        <w:rPr>
          <w:bCs/>
          <w:b/>
        </w:rPr>
        <w:t xml:space="preserve">Moving from the earlier address.</w:t>
      </w:r>
      <w:r>
        <w:t xml:space="preserve"> </w:t>
      </w:r>
      <w:r>
        <w:t xml:space="preserve">Until now the API was reached at</w:t>
      </w:r>
      <w:r>
        <w:t xml:space="preserve"> </w:t>
      </w:r>
      <w:r>
        <w:rPr>
          <w:rStyle w:val="VerbatimChar"/>
        </w:rPr>
        <w:t xml:space="preserve">wix-course-api</w:t>
      </w:r>
      <w:r>
        <w:t xml:space="preserve"> </w:t>
      </w:r>
      <w:r>
        <w:t xml:space="preserve">with</w:t>
      </w:r>
      <w:r>
        <w:t xml:space="preserve"> </w:t>
      </w:r>
      <w:r>
        <w:rPr>
          <w:rStyle w:val="VerbatimChar"/>
        </w:rPr>
        <w:t xml:space="preserve">"contract": "website-search-v2"</w:t>
      </w:r>
      <w:r>
        <w:t xml:space="preserve"> </w:t>
      </w:r>
      <w:r>
        <w:t xml:space="preserve">in every body. That address and its key keep working, unchanged, until you have moved; we will agree the switch-off date with you. The answers are the same at both addresses. To move: store the new key, change the address, drop the</w:t>
      </w:r>
      <w:r>
        <w:t xml:space="preserve"> </w:t>
      </w:r>
      <w:r>
        <w:rPr>
          <w:rStyle w:val="VerbatimChar"/>
        </w:rPr>
        <w:t xml:space="preserve">contract</w:t>
      </w:r>
      <w:r>
        <w:t xml:space="preserve"> </w:t>
      </w:r>
      <w:r>
        <w:t xml:space="preserve">field, and read</w:t>
      </w:r>
      <w:r>
        <w:t xml:space="preserve"> </w:t>
      </w:r>
      <w:r>
        <w:rPr>
          <w:rStyle w:val="VerbatimChar"/>
        </w:rPr>
        <w:t xml:space="preserve">api_version</w:t>
      </w:r>
      <w:r>
        <w:t xml:space="preserve"> </w:t>
      </w:r>
      <w:r>
        <w:t xml:space="preserve">instead of</w:t>
      </w:r>
      <w:r>
        <w:t xml:space="preserve"> </w:t>
      </w:r>
      <w:r>
        <w:rPr>
          <w:rStyle w:val="VerbatimChar"/>
        </w:rPr>
        <w:t xml:space="preserve">contract_version</w:t>
      </w:r>
      <w:r>
        <w:t xml:space="preserve">. Your stored sync cursor works at the new address, so no new full load is needed.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 For the list actions</w:t>
      </w:r>
      <w:r>
        <w:t xml:space="preserve"> </w:t>
      </w:r>
      <w:r>
        <w:rPr>
          <w:rStyle w:val="VerbatimChar"/>
        </w:rPr>
        <w:t xml:space="preserve">page_size</w:t>
      </w:r>
      <w:r>
        <w:t xml:space="preserve"> </w:t>
      </w:r>
      <w:r>
        <w:t xml:space="preserve">is 1–50 (default 20);</w:t>
      </w:r>
      <w:r>
        <w:t xml:space="preserve"> </w:t>
      </w:r>
      <w:r>
        <w:rPr>
          <w:rStyle w:val="VerbatimChar"/>
        </w:rPr>
        <w:t xml:space="preserve">sync</w:t>
      </w:r>
      <w:r>
        <w:t xml:space="preserve"> </w:t>
      </w:r>
      <w:r>
        <w:t xml:space="preserve">pages are covered in section 6.</w:t>
      </w:r>
    </w:p>
    <w:p>
      <w:pPr>
        <w:numPr>
          <w:ilvl w:val="0"/>
          <w:numId w:val="1004"/>
        </w:numPr>
        <w:pStyle w:val="Compact"/>
      </w:pPr>
      <w:r>
        <w:t xml:space="preserve">Send</w:t>
      </w:r>
      <w:r>
        <w:t xml:space="preserve"> </w:t>
      </w:r>
      <w:r>
        <w:rPr>
          <w:rStyle w:val="VerbatimChar"/>
        </w:rPr>
        <w:t xml:space="preserve">Accept-Encoding: gzip</w:t>
      </w:r>
      <w:r>
        <w:t xml:space="preserve"> </w:t>
      </w:r>
      <w:r>
        <w:t xml:space="preserve">(most HTTP clients do this by default). Replies are then compressed to about a ninth of their size.</w:t>
      </w:r>
    </w:p>
    <w:p>
      <w:pPr>
        <w:numPr>
          <w:ilvl w:val="0"/>
          <w:numId w:val="1004"/>
        </w:numPr>
        <w:pStyle w:val="Compact"/>
      </w:pPr>
      <w:r>
        <w:t xml:space="preserve">Every response carries</w:t>
      </w:r>
      <w:r>
        <w:t xml:space="preserve"> </w:t>
      </w:r>
      <w:r>
        <w:rPr>
          <w:rStyle w:val="VerbatimChar"/>
        </w:rPr>
        <w:t xml:space="preserve">api_version: "website-v2"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An error reply is</w:t>
      </w:r>
      <w:r>
        <w:t xml:space="preserve"> </w:t>
      </w:r>
      <w:r>
        <w:rPr>
          <w:rStyle w:val="VerbatimChar"/>
        </w:rPr>
        <w:t xml:space="preserve">{ api_version, error: { code, message, detail }, request_id }</w:t>
      </w:r>
      <w:r>
        <w:t xml:space="preserve">;</w:t>
      </w:r>
      <w:r>
        <w:t xml:space="preserve"> </w:t>
      </w:r>
      <w:r>
        <w:rPr>
          <w:rStyle w:val="VerbatimChar"/>
        </w:rPr>
        <w:t xml:space="preserve">detail</w:t>
      </w:r>
      <w:r>
        <w:t xml:space="preserve"> </w:t>
      </w:r>
      <w:r>
        <w:t xml:space="preserve">says what was wrong where it can.</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INVALID_JSON</w:t>
            </w:r>
          </w:p>
        </w:tc>
        <w:tc>
          <w:tcPr/>
          <w:p>
            <w:pPr>
              <w:pStyle w:val="Compact"/>
              <w:jc w:val="left"/>
            </w:pPr>
            <w:r>
              <w:t xml:space="preserve">The body is not a JSON object</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one of the nine</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300 a minute for your key;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7"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600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1–600 (default 600). A page holds at most about 1.7 MB of JSON (about 0.15 MB compressed), so large items (provider details, scholarships) come fewer to a page</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Start w:id="25" w:name="full-load-what-to-expect"/>
    <w:p>
      <w:pPr>
        <w:pStyle w:val="Heading2"/>
      </w:pPr>
      <w:r>
        <w:t xml:space="preserve">6.1 Full load: what to expect</w:t>
      </w:r>
    </w:p>
    <w:p>
      <w:pPr>
        <w:pStyle w:val="FirstParagraph"/>
      </w:pPr>
      <w:r>
        <w:t xml:space="preserve">Measured on Pilot on 17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Measure</w:t>
            </w:r>
          </w:p>
        </w:tc>
        <w:tc>
          <w:tcPr>
            <w:shd w:val="clear" w:color="auto" w:fill="1F3864"/>
          </w:tcPr>
          <w:p>
            <w:pPr>
              <w:pStyle w:val="Compact"/>
              <w:jc w:val="left"/>
            </w:pPr>
            <w:r>
              <w:rPr>
                <w:b/>
                <w:color w:val="FFFFFF"/>
              </w:rPr>
              <w:t xml:space="preserve">Full load</w:t>
            </w:r>
          </w:p>
        </w:tc>
      </w:tr>
      <w:tr>
        <w:tc>
          <w:tcPr/>
          <w:p>
            <w:pPr>
              <w:pStyle w:val="Compact"/>
              <w:jc w:val="left"/>
            </w:pPr>
            <w:r>
              <w:t xml:space="preserve">Items</w:t>
            </w:r>
          </w:p>
        </w:tc>
        <w:tc>
          <w:tcPr/>
          <w:p>
            <w:pPr>
              <w:pStyle w:val="Compact"/>
              <w:jc w:val="left"/>
            </w:pPr>
            <w:r>
              <w:t xml:space="preserve">About 41,900 (courses 37,300; providers 1,885; scholarships 1,100; logos 1,550; ranking sets 56; reference 1)</w:t>
            </w:r>
          </w:p>
        </w:tc>
      </w:tr>
      <w:tr>
        <w:tc>
          <w:tcPr/>
          <w:p>
            <w:pPr>
              <w:pStyle w:val="Compact"/>
              <w:jc w:val="left"/>
            </w:pPr>
            <w:r>
              <w:t xml:space="preserve">Calls</w:t>
            </w:r>
          </w:p>
        </w:tc>
        <w:tc>
          <w:tcPr/>
          <w:p>
            <w:pPr>
              <w:pStyle w:val="Compact"/>
              <w:jc w:val="left"/>
            </w:pPr>
            <w:r>
              <w:t xml:space="preserve">About 86 at the default page size (600)</w:t>
            </w:r>
          </w:p>
        </w:tc>
      </w:tr>
      <w:tr>
        <w:tc>
          <w:tcPr/>
          <w:p>
            <w:pPr>
              <w:pStyle w:val="Compact"/>
              <w:jc w:val="left"/>
            </w:pPr>
            <w:r>
              <w:t xml:space="preserve">Data</w:t>
            </w:r>
          </w:p>
        </w:tc>
        <w:tc>
          <w:tcPr/>
          <w:p>
            <w:pPr>
              <w:pStyle w:val="Compact"/>
              <w:jc w:val="left"/>
            </w:pPr>
            <w:r>
              <w:t xml:space="preserve">About 113 MB of JSON in total, about 15 MB compressed with</w:t>
            </w:r>
            <w:r>
              <w:t xml:space="preserve"> </w:t>
            </w:r>
            <w:r>
              <w:rPr>
                <w:rStyle w:val="VerbatimChar"/>
              </w:rPr>
              <w:t xml:space="preserve">Accept-Encoding: gzip</w:t>
            </w:r>
            <w:r>
              <w:t xml:space="preserve">; the largest page about 1.7 MB (the first page 150 KB compressed)</w:t>
            </w:r>
          </w:p>
        </w:tc>
      </w:tr>
      <w:tr>
        <w:tc>
          <w:tcPr/>
          <w:p>
            <w:pPr>
              <w:pStyle w:val="Compact"/>
              <w:jc w:val="left"/>
            </w:pPr>
            <w:r>
              <w:t xml:space="preserve">Reply time</w:t>
            </w:r>
          </w:p>
        </w:tc>
        <w:tc>
          <w:tcPr/>
          <w:p>
            <w:pPr>
              <w:pStyle w:val="Compact"/>
              <w:jc w:val="left"/>
            </w:pPr>
            <w:r>
              <w:t xml:space="preserve">Under a second a page; the platform builds a page in under 0.3 seconds</w:t>
            </w:r>
          </w:p>
        </w:tc>
      </w:tr>
      <w:tr>
        <w:tc>
          <w:tcPr/>
          <w:p>
            <w:pPr>
              <w:pStyle w:val="Compact"/>
              <w:jc w:val="left"/>
            </w:pPr>
            <w:r>
              <w:t xml:space="preserve">Elapsed time</w:t>
            </w:r>
          </w:p>
        </w:tc>
        <w:tc>
          <w:tcPr/>
          <w:p>
            <w:pPr>
              <w:pStyle w:val="Compact"/>
              <w:jc w:val="left"/>
            </w:pPr>
            <w:r>
              <w:t xml:space="preserve">About 1 to 2 minutes (one page at a time)</w:t>
            </w:r>
          </w:p>
        </w:tc>
      </w:tr>
      <w:tr>
        <w:tc>
          <w:tcPr/>
          <w:p>
            <w:pPr>
              <w:pStyle w:val="Compact"/>
              <w:jc w:val="left"/>
            </w:pPr>
            <w:r>
              <w:t xml:space="preserve">After the full load</w:t>
            </w:r>
          </w:p>
        </w:tc>
        <w:tc>
          <w:tcPr/>
          <w:p>
            <w:pPr>
              <w:pStyle w:val="Compact"/>
              <w:jc w:val="left"/>
            </w:pPr>
            <w:r>
              <w:t xml:space="preserve">A delta is usually one call; the platform checks every item for changes within about 90 minutes, and a change appears in the next delta after that</w:t>
            </w:r>
          </w:p>
        </w:tc>
      </w:tr>
    </w:tbl>
    <w:bookmarkEnd w:id="25"/>
    <w:bookmarkStart w:id="26" w:name="what-we-expect-from-your-sync-job"/>
    <w:p>
      <w:pPr>
        <w:pStyle w:val="Heading2"/>
      </w:pPr>
      <w:r>
        <w:t xml:space="preserve">6.2 What we expect from your sync job</w:t>
      </w:r>
    </w:p>
    <w:p>
      <w:pPr>
        <w:numPr>
          <w:ilvl w:val="0"/>
          <w:numId w:val="1008"/>
        </w:numPr>
        <w:pStyle w:val="Compact"/>
      </w:pPr>
      <w:r>
        <w:rPr>
          <w:bCs/>
          <w:b/>
        </w:rPr>
        <w:t xml:space="preserve">Run it as a scheduled backend job that can resume.</w:t>
      </w:r>
      <w:r>
        <w:t xml:space="preserve"> </w:t>
      </w:r>
      <w:r>
        <w:t xml:space="preserve">Save</w:t>
      </w:r>
      <w:r>
        <w:t xml:space="preserve"> </w:t>
      </w:r>
      <w:r>
        <w:rPr>
          <w:rStyle w:val="VerbatimChar"/>
        </w:rPr>
        <w:t xml:space="preserve">next_cursor</w:t>
      </w:r>
      <w:r>
        <w:t xml:space="preserve"> </w:t>
      </w:r>
      <w:r>
        <w:t xml:space="preserve">after each page is written. If the job stops (for example at a Wix time limit), the next run carries on from the saved cursor.</w:t>
      </w:r>
    </w:p>
    <w:p>
      <w:pPr>
        <w:numPr>
          <w:ilvl w:val="0"/>
          <w:numId w:val="1008"/>
        </w:numPr>
        <w:pStyle w:val="Compact"/>
      </w:pPr>
      <w:r>
        <w:rPr>
          <w:bCs/>
          <w:b/>
        </w:rPr>
        <w:t xml:space="preserve">One cursor at a time.</w:t>
      </w:r>
      <w:r>
        <w:t xml:space="preserve"> </w:t>
      </w:r>
      <w:r>
        <w:t xml:space="preserve">Each call needs the previous reply’s cursor; do not start a second full load while one is running.</w:t>
      </w:r>
    </w:p>
    <w:p>
      <w:pPr>
        <w:numPr>
          <w:ilvl w:val="0"/>
          <w:numId w:val="1008"/>
        </w:numPr>
        <w:pStyle w:val="Compact"/>
      </w:pPr>
      <w:r>
        <w:rPr>
          <w:bCs/>
          <w:b/>
        </w:rPr>
        <w:t xml:space="preserve">Stay within 300 calls a minute.</w:t>
      </w:r>
      <w:r>
        <w:t xml:space="preserve"> </w:t>
      </w:r>
      <w:r>
        <w:t xml:space="preserve">On 429, wait for</w:t>
      </w:r>
      <w:r>
        <w:t xml:space="preserve"> </w:t>
      </w:r>
      <w:r>
        <w:rPr>
          <w:rStyle w:val="VerbatimChar"/>
        </w:rPr>
        <w:t xml:space="preserve">Retry-After</w:t>
      </w:r>
      <w:r>
        <w:t xml:space="preserve"> </w:t>
      </w:r>
      <w:r>
        <w:t xml:space="preserve">and send the same cursor again.</w:t>
      </w:r>
    </w:p>
    <w:p>
      <w:pPr>
        <w:numPr>
          <w:ilvl w:val="0"/>
          <w:numId w:val="1008"/>
        </w:numPr>
        <w:pStyle w:val="Compact"/>
      </w:pPr>
      <w:r>
        <w:rPr>
          <w:bCs/>
          <w:b/>
        </w:rPr>
        <w:t xml:space="preserve">Write each page in one bulk save,</w:t>
      </w:r>
      <w:r>
        <w:t xml:space="preserve"> </w:t>
      </w:r>
      <w:r>
        <w:t xml:space="preserve">upserting by</w:t>
      </w:r>
      <w:r>
        <w:t xml:space="preserve"> </w:t>
      </w:r>
      <w:r>
        <w:rPr>
          <w:rStyle w:val="VerbatimChar"/>
        </w:rPr>
        <w:t xml:space="preserve">id</w:t>
      </w:r>
      <w:r>
        <w:t xml:space="preserve">; delete by</w:t>
      </w:r>
      <w:r>
        <w:t xml:space="preserve"> </w:t>
      </w:r>
      <w:r>
        <w:rPr>
          <w:rStyle w:val="VerbatimChar"/>
        </w:rPr>
        <w:t xml:space="preserve">id</w:t>
      </w:r>
      <w:r>
        <w:t xml:space="preserve"> </w:t>
      </w:r>
      <w:r>
        <w:t xml:space="preserve">on</w:t>
      </w:r>
      <w:r>
        <w:t xml:space="preserve"> </w:t>
      </w:r>
      <w:r>
        <w:rPr>
          <w:rStyle w:val="VerbatimChar"/>
        </w:rPr>
        <w:t xml:space="preserve">remove</w:t>
      </w:r>
      <w:r>
        <w:t xml:space="preserve">.</w:t>
      </w:r>
    </w:p>
    <w:p>
      <w:pPr>
        <w:numPr>
          <w:ilvl w:val="0"/>
          <w:numId w:val="1008"/>
        </w:numPr>
        <w:pStyle w:val="Compact"/>
      </w:pPr>
      <w:r>
        <w:rPr>
          <w:bCs/>
          <w:b/>
        </w:rPr>
        <w:t xml:space="preserve">After the full load, run a delta every 5 to 15 minutes.</w:t>
      </w:r>
      <w:r>
        <w:t xml:space="preserve"> </w:t>
      </w:r>
      <w:r>
        <w:t xml:space="preserve">Run a full load again only to rebuild your collections.</w:t>
      </w:r>
    </w:p>
    <w:p>
      <w:pPr>
        <w:numPr>
          <w:ilvl w:val="0"/>
          <w:numId w:val="1008"/>
        </w:numPr>
        <w:pStyle w:val="Compact"/>
      </w:pPr>
      <w:r>
        <w:rPr>
          <w:bCs/>
          <w:b/>
        </w:rPr>
        <w:t xml:space="preserve">Copy each new or renewed logo into Wix Media</w:t>
      </w:r>
      <w:r>
        <w:t xml:space="preserve"> </w:t>
      </w:r>
      <w:r>
        <w:t xml:space="preserve">in the run that receives it.</w:t>
      </w:r>
    </w:p>
    <w:bookmarkEnd w:id="26"/>
    <w:bookmarkEnd w:id="27"/>
    <w:bookmarkStart w:id="37"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8"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8"/>
    <w:bookmarkStart w:id="29"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35 courses on 29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on that test’s own scale. Give exactly one test code with a score. Test codes:</w:t>
            </w:r>
            <w:r>
              <w:t xml:space="preserve"> </w:t>
            </w: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r>
              <w:t xml:space="preserve">,</w:t>
            </w:r>
            <w:r>
              <w:t xml:space="preserve"> </w:t>
            </w:r>
            <w:r>
              <w:rPr>
                <w:rStyle w:val="VerbatimChar"/>
              </w:rPr>
              <w:t xml:space="preserve">DET</w:t>
            </w:r>
            <w:r>
              <w:t xml:space="preserve"> </w:t>
            </w:r>
            <w:r>
              <w:t xml:space="preserve">(Duolingo English Test, 10–160);</w:t>
            </w:r>
            <w:r>
              <w:t xml:space="preserve"> </w:t>
            </w:r>
            <w:r>
              <w:rPr>
                <w:rStyle w:val="VerbatimChar"/>
              </w:rPr>
              <w:t xml:space="preserve">reference</w:t>
            </w:r>
            <w:r>
              <w:t xml:space="preserve"> </w:t>
            </w:r>
            <w:r>
              <w:t xml:space="preserve">lists the codes held for each country with course counts</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9"/>
    <w:bookmarkStart w:id="30"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 With</w:t>
      </w:r>
      <w:r>
        <w:t xml:space="preserve"> </w:t>
      </w:r>
      <w:r>
        <w:rPr>
          <w:rStyle w:val="VerbatimChar"/>
        </w:rPr>
        <w:t xml:space="preserve">edu_country</w:t>
      </w:r>
      <w:r>
        <w:t xml:space="preserve"> </w:t>
      </w:r>
      <w:r>
        <w:t xml:space="preserve">(7.9) it also carries</w:t>
      </w:r>
      <w:r>
        <w:t xml:space="preserve"> </w:t>
      </w:r>
      <w:r>
        <w:rPr>
          <w:rStyle w:val="VerbatimChar"/>
        </w:rPr>
        <w:t xml:space="preserve">entry</w:t>
      </w:r>
      <w:r>
        <w:t xml:space="preserve">, the course’s academic entry requirements and the requirement that applies to a student from that country; without it,</w:t>
      </w:r>
      <w:r>
        <w:t xml:space="preserve"> </w:t>
      </w:r>
      <w:r>
        <w:rPr>
          <w:rStyle w:val="VerbatimChar"/>
        </w:rPr>
        <w:t xml:space="preserve">entry</w:t>
      </w:r>
      <w:r>
        <w:t xml:space="preserve"> </w:t>
      </w:r>
      <w:r>
        <w:t xml:space="preserve">holds the course’s own published requirements.</w:t>
      </w:r>
    </w:p>
    <w:bookmarkEnd w:id="30"/>
    <w:bookmarkStart w:id="31"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r>
        <w:tc>
          <w:tcPr/>
          <w:p>
            <w:pPr>
              <w:pStyle w:val="Compact"/>
              <w:jc w:val="left"/>
            </w:pPr>
            <w:r>
              <w:rPr>
                <w:rStyle w:val="VerbatimChar"/>
              </w:rPr>
              <w:t xml:space="preserve">entry_matrix[]</w:t>
            </w:r>
          </w:p>
        </w:tc>
        <w:tc>
          <w:tcPr/>
          <w:p>
            <w:pPr>
              <w:pStyle w:val="Compact"/>
              <w:jc w:val="left"/>
            </w:pPr>
            <w:r>
              <w:t xml:space="preserve">detail</w:t>
            </w:r>
          </w:p>
        </w:tc>
        <w:tc>
          <w:tcPr/>
          <w:p>
            <w:pPr>
              <w:pStyle w:val="Compact"/>
              <w:jc w:val="left"/>
            </w:pPr>
            <w:r>
              <w:t xml:space="preserve">Academic entry requirements the provider publishes by country of prior education (7.9); narrowed to one country with</w:t>
            </w:r>
            <w:r>
              <w:t xml:space="preserve"> </w:t>
            </w:r>
            <w:r>
              <w:rPr>
                <w:rStyle w:val="VerbatimChar"/>
              </w:rPr>
              <w:t xml:space="preserve">edu_country</w:t>
            </w:r>
          </w:p>
        </w:tc>
      </w:tr>
    </w:tbl>
    <w:p>
      <w:pPr>
        <w:pStyle w:val="BodyText"/>
      </w:pPr>
      <w:r>
        <w:t xml:space="preserve">An average tuition per provider is not returned: there is no sound basis for one.</w:t>
      </w:r>
    </w:p>
    <w:bookmarkEnd w:id="31"/>
    <w:bookmarkStart w:id="32"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2"/>
    <w:bookmarkStart w:id="33"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3"/>
    <w:bookmarkStart w:id="34"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9"/>
        </w:numPr>
        <w:pStyle w:val="Compact"/>
      </w:pPr>
      <w:r>
        <w:t xml:space="preserve">One primary logo per provider, from the provider’s own website, as published (SVG, PNG or JPEG; not recoloured or resized).</w:t>
      </w:r>
    </w:p>
    <w:p>
      <w:pPr>
        <w:numPr>
          <w:ilvl w:val="0"/>
          <w:numId w:val="1009"/>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9"/>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9"/>
        </w:numPr>
        <w:pStyle w:val="Compact"/>
      </w:pPr>
      <w:r>
        <w:t xml:space="preserve">A dark variant and a brand colour are not held.</w:t>
      </w:r>
    </w:p>
    <w:bookmarkEnd w:id="34"/>
    <w:bookmarkStart w:id="35" w:name="tuition-rules"/>
    <w:p>
      <w:pPr>
        <w:pStyle w:val="Heading2"/>
      </w:pPr>
      <w:r>
        <w:t xml:space="preserve">7.8 Tuition rules</w:t>
      </w:r>
    </w:p>
    <w:p>
      <w:pPr>
        <w:numPr>
          <w:ilvl w:val="0"/>
          <w:numId w:val="1010"/>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10"/>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10"/>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10"/>
        </w:numPr>
        <w:pStyle w:val="Compact"/>
      </w:pPr>
      <w:r>
        <w:t xml:space="preserve">A whole-course total is never presented as per year. An amount under 1,000 is treated as not held (provider pages use $0 or $1 as placeholders).</w:t>
      </w:r>
    </w:p>
    <w:p>
      <w:pPr>
        <w:numPr>
          <w:ilvl w:val="0"/>
          <w:numId w:val="1010"/>
        </w:numPr>
        <w:pStyle w:val="Compact"/>
      </w:pPr>
      <w:r>
        <w:t xml:space="preserve">Currency is the course’s own (AUD, NZD or CAD). There is no conversion: filter by country before filtering by tuition.</w:t>
      </w:r>
    </w:p>
    <w:bookmarkEnd w:id="35"/>
    <w:bookmarkStart w:id="36" w:name="academic-entry-requirements"/>
    <w:p>
      <w:pPr>
        <w:pStyle w:val="Heading2"/>
      </w:pPr>
      <w:r>
        <w:t xml:space="preserve">7.9 Academic entry requirements</w:t>
      </w:r>
    </w:p>
    <w:p>
      <w:pPr>
        <w:pStyle w:val="FirstParagraph"/>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bCs/>
          <w:b/>
        </w:rPr>
        <w:t xml:space="preserve">edu_country</w:t>
      </w:r>
      <w:r>
        <w:t xml:space="preserve">: the two-letter ISO country code of the student’s country of prior education, for example</w:t>
      </w:r>
      <w:r>
        <w:t xml:space="preserve"> </w:t>
      </w:r>
      <w:r>
        <w:rPr>
          <w:rStyle w:val="VerbatimChar"/>
        </w:rPr>
        <w:t xml:space="preserve">"IN"</w:t>
      </w:r>
      <w:r>
        <w:t xml:space="preserve"> </w:t>
      </w:r>
      <w:r>
        <w:t xml:space="preserve">for India. Keep the student’s choice in their session and send it with both calls. Any other value is refused with</w:t>
      </w:r>
      <w:r>
        <w:t xml:space="preserve"> </w:t>
      </w:r>
      <w:r>
        <w:rPr>
          <w:rStyle w:val="VerbatimChar"/>
        </w:rPr>
        <w:t xml:space="preserve">400 INVALID_INPUT</w:t>
      </w:r>
      <w:r>
        <w:t xml:space="preserve">.</w:t>
      </w:r>
      <w:r>
        <w:t xml:space="preserve"> </w:t>
      </w:r>
      <w:r>
        <w:rPr>
          <w:rStyle w:val="VerbatimChar"/>
        </w:rPr>
        <w:t xml:space="preserve">search</w:t>
      </w:r>
      <w:r>
        <w:t xml:space="preserve"> </w:t>
      </w:r>
      <w:r>
        <w:t xml:space="preserve">does not take it.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FirstParagraph"/>
      </w:pPr>
      <w:r>
        <w:rPr>
          <w:bCs/>
          <w:b/>
        </w:rPr>
        <w:t xml:space="preserve">Course detail:</w:t>
      </w:r>
      <w:r>
        <w:rPr>
          <w:bCs/>
          <w:b/>
        </w:rPr>
        <w:t xml:space="preserve"> </w:t>
      </w:r>
      <w:r>
        <w:rPr>
          <w:rStyle w:val="VerbatimChar"/>
          <w:bCs/>
          <w:b/>
        </w:rPr>
        <w:t xml:space="preserve">entry</w:t>
      </w:r>
      <w:r>
        <w:t xml:space="preserve"> </w:t>
      </w:r>
      <w:r>
        <w:t xml:space="preserve">(always present;</w:t>
      </w:r>
      <w:r>
        <w:t xml:space="preserve"> </w:t>
      </w:r>
      <w:r>
        <w:rPr>
          <w:rStyle w:val="VerbatimChar"/>
        </w:rPr>
        <w:t xml:space="preserve">null</w:t>
      </w:r>
      <w:r>
        <w:t xml:space="preserve"> </w:t>
      </w:r>
      <w:r>
        <w:t xml:space="preserve">means not held):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min_score</w:t>
            </w:r>
            <w:r>
              <w:t xml:space="preserve">,</w:t>
            </w:r>
            <w:r>
              <w:t xml:space="preserve"> </w:t>
            </w:r>
            <w:r>
              <w:rPr>
                <w:rStyle w:val="VerbatimChar"/>
              </w:rPr>
              <w:t xml:space="preserve">min_score_basis</w:t>
            </w:r>
          </w:p>
        </w:tc>
        <w:tc>
          <w:tcPr/>
          <w:p>
            <w:pPr>
              <w:pStyle w:val="Compact"/>
              <w:jc w:val="left"/>
            </w:pPr>
            <w:r>
              <w:t xml:space="preserve">The course’s minimum entry score and the words the course page prints with it, for example</w:t>
            </w:r>
            <w:r>
              <w:t xml:space="preserve"> </w:t>
            </w:r>
            <w:r>
              <w:rPr>
                <w:rStyle w:val="VerbatimChar"/>
              </w:rPr>
              <w:t xml:space="preserve">75</w:t>
            </w:r>
            <w:r>
              <w:t xml:space="preserve"> </w:t>
            </w:r>
            <w:r>
              <w:t xml:space="preserve">and</w:t>
            </w:r>
            <w:r>
              <w:t xml:space="preserve"> </w:t>
            </w:r>
            <w:r>
              <w:rPr>
                <w:rStyle w:val="VerbatimChar"/>
              </w:rPr>
              <w:t xml:space="preserve">"2027 Guaranteed ATAR"</w:t>
            </w:r>
            <w:r>
              <w:t xml:space="preserve">. Show the basis with the number</w:t>
            </w:r>
          </w:p>
        </w:tc>
      </w:tr>
      <w:tr>
        <w:tc>
          <w:tcPr/>
          <w:p>
            <w:pPr>
              <w:pStyle w:val="Compact"/>
              <w:jc w:val="left"/>
            </w:pPr>
            <w:r>
              <w:rPr>
                <w:rStyle w:val="VerbatimChar"/>
              </w:rPr>
              <w:t xml:space="preserve">benchmark_band</w:t>
            </w:r>
          </w:p>
        </w:tc>
        <w:tc>
          <w:tcPr/>
          <w:p>
            <w:pPr>
              <w:pStyle w:val="Compact"/>
              <w:jc w:val="left"/>
            </w:pPr>
            <w:r>
              <w:t xml:space="preserve">The provider’s band this course names, only where the course page prints one. Never worked out from a score</w:t>
            </w:r>
          </w:p>
        </w:tc>
      </w:tr>
      <w:tr>
        <w:tc>
          <w:tcPr/>
          <w:p>
            <w:pPr>
              <w:pStyle w:val="Compact"/>
              <w:jc w:val="left"/>
            </w:pPr>
            <w:r>
              <w:rPr>
                <w:rStyle w:val="VerbatimChar"/>
              </w:rPr>
              <w:t xml:space="preserve">prerequisites[]</w:t>
            </w:r>
            <w:r>
              <w:t xml:space="preserve">,</w:t>
            </w:r>
            <w:r>
              <w:t xml:space="preserve"> </w:t>
            </w:r>
            <w:r>
              <w:rPr>
                <w:rStyle w:val="VerbatimChar"/>
              </w:rPr>
              <w:t xml:space="preserve">selection_tasks[]</w:t>
            </w:r>
          </w:p>
        </w:tc>
        <w:tc>
          <w:tcPr/>
          <w:p>
            <w:pPr>
              <w:pStyle w:val="Compact"/>
              <w:jc w:val="left"/>
            </w:pPr>
            <w:r>
              <w:rPr>
                <w:rStyle w:val="VerbatimChar"/>
              </w:rPr>
              <w:t xml:space="preserve">{ text, quote }</w:t>
            </w:r>
            <w:r>
              <w:t xml:space="preserve"> </w:t>
            </w:r>
            <w:r>
              <w:t xml:space="preserve">as published</w:t>
            </w:r>
          </w:p>
        </w:tc>
      </w:tr>
      <w:tr>
        <w:tc>
          <w:tcPr/>
          <w:p>
            <w:pPr>
              <w:pStyle w:val="Compact"/>
              <w:jc w:val="left"/>
            </w:pPr>
            <w:r>
              <w:rPr>
                <w:rStyle w:val="VerbatimChar"/>
              </w:rPr>
              <w:t xml:space="preserve">requirements_note</w:t>
            </w:r>
          </w:p>
        </w:tc>
        <w:tc>
          <w:tcPr/>
          <w:p>
            <w:pPr>
              <w:pStyle w:val="Compact"/>
              <w:jc w:val="left"/>
            </w:pPr>
            <w:r>
              <w:t xml:space="preserve">Other published entry conditions</w:t>
            </w:r>
          </w:p>
        </w:tc>
      </w:tr>
      <w:tr>
        <w:tc>
          <w:tcPr/>
          <w:p>
            <w:pPr>
              <w:pStyle w:val="Compact"/>
              <w:jc w:val="left"/>
            </w:pPr>
            <w:r>
              <w:rPr>
                <w:rStyle w:val="VerbatimChar"/>
              </w:rPr>
              <w:t xml:space="preserve">resolution</w:t>
            </w:r>
          </w:p>
        </w:tc>
        <w:tc>
          <w:tcPr/>
          <w:p>
            <w:pPr>
              <w:pStyle w:val="Compact"/>
              <w:jc w:val="left"/>
            </w:pPr>
            <w:r>
              <w:t xml:space="preserve">Only when</w:t>
            </w:r>
            <w:r>
              <w:t xml:space="preserve"> </w:t>
            </w:r>
            <w:r>
              <w:rPr>
                <w:rStyle w:val="VerbatimChar"/>
              </w:rPr>
              <w:t xml:space="preserve">edu_country</w:t>
            </w:r>
            <w:r>
              <w:t xml:space="preserve"> </w:t>
            </w:r>
            <w:r>
              <w:t xml:space="preserve">is sent; see below</w:t>
            </w:r>
          </w:p>
        </w:tc>
      </w:tr>
    </w:tbl>
    <w:p>
      <w:pPr>
        <w:pStyle w:val="BodyText"/>
      </w:pPr>
      <w:r>
        <w:rPr>
          <w:rStyle w:val="VerbatimChar"/>
          <w:bCs/>
          <w:b/>
        </w:rPr>
        <w:t xml:space="preserve">resolution</w:t>
      </w:r>
      <w:r>
        <w:t xml:space="preserve">: the requirement that applies to a student from that country. It is worked out in a fixed order, and the first rule that applies is used:</w:t>
      </w:r>
    </w:p>
    <w:p>
      <w:pPr>
        <w:numPr>
          <w:ilvl w:val="0"/>
          <w:numId w:val="1011"/>
        </w:numPr>
        <w:pStyle w:val="Compact"/>
      </w:pPr>
      <w:r>
        <w:t xml:space="preserve">a rule the course page states for itself;</w:t>
      </w:r>
    </w:p>
    <w:p>
      <w:pPr>
        <w:numPr>
          <w:ilvl w:val="0"/>
          <w:numId w:val="1011"/>
        </w:numPr>
        <w:pStyle w:val="Compact"/>
      </w:pPr>
      <w:r>
        <w:t xml:space="preserve">the provider’s row for this course and country;</w:t>
      </w:r>
    </w:p>
    <w:p>
      <w:pPr>
        <w:numPr>
          <w:ilvl w:val="0"/>
          <w:numId w:val="1011"/>
        </w:numPr>
        <w:pStyle w:val="Compact"/>
      </w:pPr>
      <w:r>
        <w:t xml:space="preserve">the course’s band, looked up in the provider’s table for the country;</w:t>
      </w:r>
    </w:p>
    <w:p>
      <w:pPr>
        <w:numPr>
          <w:ilvl w:val="0"/>
          <w:numId w:val="1011"/>
        </w:numPr>
        <w:pStyle w:val="Compact"/>
      </w:pPr>
      <w:r>
        <w:t xml:space="preserve">the provider’s minimum for the country and the course level;</w:t>
      </w:r>
    </w:p>
    <w:p>
      <w:pPr>
        <w:numPr>
          <w:ilvl w:val="0"/>
          <w:numId w:val="1011"/>
        </w:numPr>
        <w:pStyle w:val="Compact"/>
      </w:pPr>
      <w:r>
        <w:t xml:space="preserve">otherwise, contact the provider.</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country</w:t>
            </w:r>
          </w:p>
        </w:tc>
        <w:tc>
          <w:tcPr/>
          <w:p>
            <w:pPr>
              <w:pStyle w:val="Compact"/>
              <w:jc w:val="left"/>
            </w:pPr>
            <w:r>
              <w:t xml:space="preserve">The</w:t>
            </w:r>
            <w:r>
              <w:t xml:space="preserve"> </w:t>
            </w:r>
            <w:r>
              <w:rPr>
                <w:rStyle w:val="VerbatimChar"/>
              </w:rPr>
              <w:t xml:space="preserve">edu_country</w:t>
            </w:r>
            <w:r>
              <w:t xml:space="preserve"> </w:t>
            </w:r>
            <w:r>
              <w:t xml:space="preserve">you sent, in capitals</w:t>
            </w:r>
          </w:p>
        </w:tc>
      </w:tr>
      <w:tr>
        <w:tc>
          <w:tcPr/>
          <w:p>
            <w:pPr>
              <w:pStyle w:val="Compact"/>
              <w:jc w:val="left"/>
            </w:pPr>
            <w:r>
              <w:rPr>
                <w:rStyle w:val="VerbatimChar"/>
              </w:rPr>
              <w:t xml:space="preserve">step</w:t>
            </w:r>
            <w:r>
              <w:t xml:space="preserve">,</w:t>
            </w:r>
            <w:r>
              <w:t xml:space="preserve"> </w:t>
            </w:r>
            <w:r>
              <w:rPr>
                <w:rStyle w:val="VerbatimChar"/>
              </w:rPr>
              <w:t xml:space="preserve">rule</w:t>
            </w:r>
          </w:p>
        </w:tc>
        <w:tc>
          <w:tcPr/>
          <w:p>
            <w:pPr>
              <w:pStyle w:val="Compact"/>
              <w:jc w:val="left"/>
            </w:pPr>
            <w:r>
              <w:t xml:space="preserve">1–5:</w:t>
            </w:r>
            <w:r>
              <w:t xml:space="preserve"> </w:t>
            </w:r>
            <w:r>
              <w:rPr>
                <w:rStyle w:val="VerbatimChar"/>
              </w:rPr>
              <w:t xml:space="preserve">course_override</w:t>
            </w:r>
            <w:r>
              <w:t xml:space="preserve">,</w:t>
            </w:r>
            <w:r>
              <w:t xml:space="preserve"> </w:t>
            </w:r>
            <w:r>
              <w:rPr>
                <w:rStyle w:val="VerbatimChar"/>
              </w:rPr>
              <w:t xml:space="preserve">course_country_row</w:t>
            </w:r>
            <w:r>
              <w:t xml:space="preserve">,</w:t>
            </w:r>
            <w:r>
              <w:t xml:space="preserve"> </w:t>
            </w:r>
            <w:r>
              <w:rPr>
                <w:rStyle w:val="VerbatimChar"/>
              </w:rPr>
              <w:t xml:space="preserve">band_ladder</w:t>
            </w:r>
            <w:r>
              <w:t xml:space="preserve">,</w:t>
            </w:r>
            <w:r>
              <w:t xml:space="preserve"> </w:t>
            </w:r>
            <w:r>
              <w:rPr>
                <w:rStyle w:val="VerbatimChar"/>
              </w:rPr>
              <w:t xml:space="preserve">provider_minimum</w:t>
            </w:r>
            <w:r>
              <w:t xml:space="preserve">,</w:t>
            </w:r>
            <w:r>
              <w:t xml:space="preserve"> </w:t>
            </w:r>
            <w:r>
              <w:rPr>
                <w:rStyle w:val="VerbatimChar"/>
              </w:rPr>
              <w:t xml:space="preserve">contact_provider</w:t>
            </w:r>
          </w:p>
        </w:tc>
      </w:tr>
      <w:tr>
        <w:tc>
          <w:tcPr/>
          <w:p>
            <w:pPr>
              <w:pStyle w:val="Compact"/>
              <w:jc w:val="left"/>
            </w:pPr>
            <w:r>
              <w:rPr>
                <w:rStyle w:val="VerbatimChar"/>
              </w:rPr>
              <w:t xml:space="preserve">outcome</w:t>
            </w:r>
          </w:p>
        </w:tc>
        <w:tc>
          <w:tcPr/>
          <w:p>
            <w:pPr>
              <w:pStyle w:val="Compact"/>
              <w:jc w:val="left"/>
            </w:pPr>
            <w:r>
              <w:rPr>
                <w:rStyle w:val="VerbatimChar"/>
              </w:rPr>
              <w:t xml:space="preserve">minimum_published</w:t>
            </w:r>
            <w:r>
              <w:t xml:space="preserve">,</w:t>
            </w:r>
            <w:r>
              <w:t xml:space="preserve"> </w:t>
            </w:r>
            <w:r>
              <w:rPr>
                <w:rStyle w:val="VerbatimChar"/>
              </w:rPr>
              <w:t xml:space="preserve">case_by_case</w:t>
            </w:r>
            <w:r>
              <w:t xml:space="preserve"> </w:t>
            </w:r>
            <w:r>
              <w:t xml:space="preserve">or</w:t>
            </w:r>
            <w:r>
              <w:t xml:space="preserve"> </w:t>
            </w:r>
            <w:r>
              <w:rPr>
                <w:rStyle w:val="VerbatimChar"/>
              </w:rPr>
              <w:t xml:space="preserve">contact_provider</w:t>
            </w:r>
          </w:p>
        </w:tc>
      </w:tr>
      <w:tr>
        <w:tc>
          <w:tcPr/>
          <w:p>
            <w:pPr>
              <w:pStyle w:val="Compact"/>
              <w:jc w:val="left"/>
            </w:pPr>
            <w:r>
              <w:rPr>
                <w:rStyle w:val="VerbatimChar"/>
              </w:rPr>
              <w:t xml:space="preserve">rows[]</w:t>
            </w:r>
          </w:p>
        </w:tc>
        <w:tc>
          <w:tcPr/>
          <w:p>
            <w:pPr>
              <w:pStyle w:val="Compact"/>
              <w:jc w:val="left"/>
            </w:pPr>
            <w:r>
              <w:rPr>
                <w:rStyle w:val="VerbatimChar"/>
              </w:rPr>
              <w:t xml:space="preserve">qualification</w:t>
            </w:r>
            <w:r>
              <w:t xml:space="preserve">,</w:t>
            </w:r>
            <w:r>
              <w:t xml:space="preserve"> </w:t>
            </w:r>
            <w:r>
              <w:rPr>
                <w:rStyle w:val="VerbatimChar"/>
              </w:rPr>
              <w:t xml:space="preserve">study_level</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band</w:t>
            </w:r>
            <w:r>
              <w:t xml:space="preserve">,</w:t>
            </w:r>
            <w:r>
              <w:t xml:space="preserve"> </w:t>
            </w:r>
            <w:r>
              <w:rPr>
                <w:rStyle w:val="VerbatimChar"/>
              </w:rPr>
              <w:t xml:space="preserve">conditions</w:t>
            </w:r>
            <w:r>
              <w:t xml:space="preserve">,</w:t>
            </w:r>
            <w:r>
              <w:t xml:space="preserve"> </w:t>
            </w:r>
            <w:r>
              <w:rPr>
                <w:rStyle w:val="VerbatimChar"/>
              </w:rPr>
              <w:t xml:space="preserve">quote</w:t>
            </w:r>
            <w:r>
              <w:t xml:space="preserve">,</w:t>
            </w:r>
            <w:r>
              <w:t xml:space="preserve"> </w:t>
            </w:r>
            <w:r>
              <w:rPr>
                <w:rStyle w:val="VerbatimChar"/>
              </w:rPr>
              <w:t xml:space="preserve">as_at</w:t>
            </w:r>
            <w:r>
              <w:t xml:space="preserve">,</w:t>
            </w:r>
            <w:r>
              <w:t xml:space="preserve"> </w:t>
            </w:r>
            <w:r>
              <w:rPr>
                <w:rStyle w:val="VerbatimChar"/>
              </w:rPr>
              <w:t xml:space="preserve">edition</w:t>
            </w:r>
            <w:r>
              <w:t xml:space="preserve">,</w:t>
            </w:r>
            <w:r>
              <w:t xml:space="preserve"> </w:t>
            </w:r>
            <w:r>
              <w:rPr>
                <w:rStyle w:val="VerbatimChar"/>
              </w:rPr>
              <w:t xml:space="preserve">case_by_case</w:t>
            </w:r>
          </w:p>
        </w:tc>
      </w:tr>
      <w:tr>
        <w:tc>
          <w:tcPr/>
          <w:p>
            <w:pPr>
              <w:pStyle w:val="Compact"/>
              <w:jc w:val="left"/>
            </w:pPr>
            <w:r>
              <w:rPr>
                <w:rStyle w:val="VerbatimChar"/>
              </w:rPr>
              <w:t xml:space="preserve">note</w:t>
            </w:r>
          </w:p>
        </w:tc>
        <w:tc>
          <w:tcPr/>
          <w:p>
            <w:pPr>
              <w:pStyle w:val="Compact"/>
              <w:jc w:val="left"/>
            </w:pPr>
            <w:r>
              <w:t xml:space="preserve">Why no table row applied, when</w:t>
            </w:r>
            <w:r>
              <w:t xml:space="preserve"> </w:t>
            </w:r>
            <w:r>
              <w:rPr>
                <w:rStyle w:val="VerbatimChar"/>
              </w:rPr>
              <w:t xml:space="preserve">step</w:t>
            </w:r>
            <w:r>
              <w:t xml:space="preserve"> </w:t>
            </w:r>
            <w:r>
              <w:t xml:space="preserve">is 5. One of:</w:t>
            </w:r>
            <w:r>
              <w:t xml:space="preserve"> </w:t>
            </w:r>
            <w:r>
              <w:t xml:space="preserve">“</w:t>
            </w:r>
            <w:r>
              <w:t xml:space="preserve">The provider publishes a band table for this country, but the course page prints no band to enter it with.</w:t>
            </w:r>
            <w:r>
              <w:t xml:space="preserve">”</w:t>
            </w:r>
            <w:r>
              <w:t xml:space="preserve">;</w:t>
            </w:r>
            <w:r>
              <w:t xml:space="preserve"> </w:t>
            </w:r>
            <w:r>
              <w:t xml:space="preserve">“</w:t>
            </w:r>
            <w:r>
              <w:t xml:space="preserve">The course band … has no published row for this country and level.</w:t>
            </w:r>
            <w:r>
              <w:t xml:space="preserve">”</w:t>
            </w:r>
            <w:r>
              <w:t xml:space="preserve">;</w:t>
            </w:r>
            <w:r>
              <w:t xml:space="preserve"> </w:t>
            </w:r>
            <w:r>
              <w:t xml:space="preserve">“</w:t>
            </w:r>
            <w:r>
              <w:t xml:space="preserve">The provider publishes rows for this country, none for this course’s level.</w:t>
            </w:r>
            <w:r>
              <w:t xml:space="preserve">”</w:t>
            </w:r>
            <w:r>
              <w:t xml:space="preserve">;</w:t>
            </w:r>
            <w:r>
              <w:t xml:space="preserve"> </w:t>
            </w:r>
            <w:r>
              <w:t xml:space="preserve">“</w:t>
            </w:r>
            <w:r>
              <w:t xml:space="preserve">No published requirement for this country.</w:t>
            </w:r>
            <w:r>
              <w:t xml:space="preserve">”</w:t>
            </w:r>
            <w:r>
              <w:t xml:space="preserve"> </w:t>
            </w:r>
            <w:r>
              <w:t xml:space="preserve">You may show it under the</w:t>
            </w:r>
            <w:r>
              <w:t xml:space="preserve"> </w:t>
            </w:r>
            <w:r>
              <w:t xml:space="preserve">“</w:t>
            </w:r>
            <w:r>
              <w:t xml:space="preserve">contact the provider</w:t>
            </w:r>
            <w:r>
              <w:t xml:space="preserve">”</w:t>
            </w:r>
            <w:r>
              <w:t xml:space="preserve"> </w:t>
            </w:r>
            <w:r>
              <w:t xml:space="preserve">message</w:t>
            </w:r>
          </w:p>
        </w:tc>
      </w:tr>
      <w:tr>
        <w:tc>
          <w:tcPr/>
          <w:p>
            <w:pPr>
              <w:pStyle w:val="Compact"/>
              <w:jc w:val="left"/>
            </w:pPr>
            <w:r>
              <w:rPr>
                <w:rStyle w:val="VerbatimChar"/>
              </w:rPr>
              <w:t xml:space="preserve">contact</w:t>
            </w:r>
          </w:p>
        </w:tc>
        <w:tc>
          <w:tcPr/>
          <w:p>
            <w:pPr>
              <w:pStyle w:val="Compact"/>
              <w:jc w:val="left"/>
            </w:pPr>
            <w:r>
              <w:t xml:space="preserve">When</w:t>
            </w:r>
            <w:r>
              <w:t xml:space="preserve"> </w:t>
            </w:r>
            <w:r>
              <w:rPr>
                <w:rStyle w:val="VerbatimChar"/>
              </w:rPr>
              <w:t xml:space="preserve">step</w:t>
            </w:r>
            <w:r>
              <w:t xml:space="preserve"> </w:t>
            </w:r>
            <w:r>
              <w:t xml:space="preserve">is 5: the provider’s website, for the</w:t>
            </w:r>
            <w:r>
              <w:t xml:space="preserve"> </w:t>
            </w:r>
            <w:r>
              <w:t xml:space="preserve">“</w:t>
            </w:r>
            <w:r>
              <w:t xml:space="preserve">contact the provider</w:t>
            </w:r>
            <w:r>
              <w:t xml:space="preserve">”</w:t>
            </w:r>
            <w:r>
              <w:t xml:space="preserve"> </w:t>
            </w:r>
            <w:r>
              <w:t xml:space="preserve">link.</w:t>
            </w:r>
            <w:r>
              <w:t xml:space="preserve"> </w:t>
            </w:r>
            <w:r>
              <w:rPr>
                <w:rStyle w:val="VerbatimChar"/>
              </w:rPr>
              <w:t xml:space="preserve">null</w:t>
            </w:r>
            <w:r>
              <w:t xml:space="preserve"> </w:t>
            </w:r>
            <w:r>
              <w:t xml:space="preserve">when not held</w:t>
            </w:r>
          </w:p>
        </w:tc>
      </w:tr>
    </w:tbl>
    <w:p>
      <w:pPr>
        <w:pStyle w:val="BodyText"/>
      </w:pPr>
      <w:r>
        <w:t xml:space="preserve">Show it like this:</w:t>
      </w:r>
    </w:p>
    <w:p>
      <w:pPr>
        <w:numPr>
          <w:ilvl w:val="0"/>
          <w:numId w:val="1012"/>
        </w:numPr>
        <w:pStyle w:val="Compact"/>
      </w:pPr>
      <w:r>
        <w:rPr>
          <w:rStyle w:val="VerbatimChar"/>
          <w:bCs/>
          <w:b/>
        </w:rPr>
        <w:t xml:space="preserve">minimum_published</w:t>
      </w:r>
      <w:r>
        <w:rPr>
          <w:bCs/>
          <w:b/>
        </w:rPr>
        <w:t xml:space="preserve">:</w:t>
      </w:r>
      <w:r>
        <w:t xml:space="preserve"> </w:t>
      </w:r>
      <w:r>
        <w:t xml:space="preserve">show each qualification with its minimum, for example</w:t>
      </w:r>
      <w:r>
        <w:t xml:space="preserve"> </w:t>
      </w:r>
      <w:r>
        <w:t xml:space="preserve">“</w:t>
      </w:r>
      <w:r>
        <w:t xml:space="preserve">All India Senior School Certificate: minimum average of 75%</w:t>
      </w:r>
      <w:r>
        <w:t xml:space="preserve">”</w:t>
      </w:r>
      <w:r>
        <w:t xml:space="preserve">.</w:t>
      </w:r>
    </w:p>
    <w:p>
      <w:pPr>
        <w:numPr>
          <w:ilvl w:val="0"/>
          <w:numId w:val="1012"/>
        </w:numPr>
        <w:pStyle w:val="Compact"/>
      </w:pPr>
      <w:r>
        <w:rPr>
          <w:rStyle w:val="VerbatimChar"/>
          <w:bCs/>
          <w:b/>
        </w:rPr>
        <w:t xml:space="preserve">case_by_case</w:t>
      </w:r>
      <w:r>
        <w:t xml:space="preserve">, or a row with</w:t>
      </w:r>
      <w:r>
        <w:t xml:space="preserve"> </w:t>
      </w:r>
      <w:r>
        <w:rPr>
          <w:rStyle w:val="VerbatimChar"/>
        </w:rPr>
        <w:t xml:space="preserve">case_by_case</w:t>
      </w:r>
      <w:r>
        <w:t xml:space="preserve"> </w:t>
      </w:r>
      <w:r>
        <w:t xml:space="preserve">true: show</w:t>
      </w:r>
      <w:r>
        <w:t xml:space="preserve"> </w:t>
      </w:r>
      <w:r>
        <w:rPr>
          <w:bCs/>
          <w:b/>
        </w:rPr>
        <w:t xml:space="preserve">“</w:t>
      </w:r>
      <w:r>
        <w:rPr>
          <w:bCs/>
          <w:b/>
        </w:rPr>
        <w:t xml:space="preserve">This qualification is considered case by case</w:t>
      </w:r>
      <w:r>
        <w:rPr>
          <w:bCs/>
          <w:b/>
        </w:rPr>
        <w:t xml:space="preserve">”</w:t>
      </w:r>
      <w:r>
        <w:t xml:space="preserve">. Never show</w:t>
      </w:r>
      <w:r>
        <w:t xml:space="preserve"> </w:t>
      </w:r>
      <w:r>
        <w:t xml:space="preserve">“</w:t>
      </w:r>
      <w:r>
        <w:t xml:space="preserve">no data</w:t>
      </w:r>
      <w:r>
        <w:t xml:space="preserve">”</w:t>
      </w:r>
      <w:r>
        <w:t xml:space="preserve">, and never treat it as met. A row is</w:t>
      </w:r>
      <w:r>
        <w:t xml:space="preserve"> </w:t>
      </w:r>
      <w:r>
        <w:rPr>
          <w:rStyle w:val="VerbatimChar"/>
        </w:rPr>
        <w:t xml:space="preserve">case_by_case</w:t>
      </w:r>
      <w:r>
        <w:t xml:space="preserve"> </w:t>
      </w:r>
      <w:r>
        <w:t xml:space="preserve">when it states no minimum on a scale:</w:t>
      </w:r>
      <w:r>
        <w:t xml:space="preserve"> </w:t>
      </w:r>
      <w:r>
        <w:rPr>
          <w:rStyle w:val="VerbatimChar"/>
        </w:rPr>
        <w:t xml:space="preserve">min_grade</w:t>
      </w:r>
      <w:r>
        <w:t xml:space="preserve"> </w:t>
      </w:r>
      <w:r>
        <w:t xml:space="preserve">is null, or</w:t>
      </w:r>
      <w:r>
        <w:t xml:space="preserve"> </w:t>
      </w:r>
      <w:r>
        <w:rPr>
          <w:rStyle w:val="VerbatimChar"/>
        </w:rPr>
        <w:t xml:space="preserve">scale</w:t>
      </w:r>
      <w:r>
        <w:t xml:space="preserve"> </w:t>
      </w:r>
      <w:r>
        <w:t xml:space="preserve">is</w:t>
      </w:r>
      <w:r>
        <w:t xml:space="preserve"> </w:t>
      </w:r>
      <w:r>
        <w:rPr>
          <w:rStyle w:val="VerbatimChar"/>
        </w:rPr>
        <w:t xml:space="preserve">"none"</w:t>
      </w:r>
      <w:r>
        <w:t xml:space="preserve">. Where</w:t>
      </w:r>
      <w:r>
        <w:t xml:space="preserve"> </w:t>
      </w:r>
      <w:r>
        <w:rPr>
          <w:rStyle w:val="VerbatimChar"/>
        </w:rPr>
        <w:t xml:space="preserve">min_grade</w:t>
      </w:r>
      <w:r>
        <w:t xml:space="preserve"> </w:t>
      </w:r>
      <w:r>
        <w:t xml:space="preserve">holds the provider’s words (for example</w:t>
      </w:r>
      <w:r>
        <w:t xml:space="preserve"> </w:t>
      </w:r>
      <w:r>
        <w:t xml:space="preserve">“</w:t>
      </w:r>
      <w:r>
        <w:t xml:space="preserve">Completion of Senior High School Diploma</w:t>
      </w:r>
      <w:r>
        <w:t xml:space="preserve">”</w:t>
      </w:r>
      <w:r>
        <w:t xml:space="preserve">), show them as printed with the case-by-case message.</w:t>
      </w:r>
    </w:p>
    <w:p>
      <w:pPr>
        <w:numPr>
          <w:ilvl w:val="0"/>
          <w:numId w:val="1012"/>
        </w:numPr>
        <w:pStyle w:val="Compact"/>
      </w:pPr>
      <w:r>
        <w:rPr>
          <w:rStyle w:val="VerbatimChar"/>
          <w:bCs/>
          <w:b/>
        </w:rPr>
        <w:t xml:space="preserve">contact_provider</w:t>
      </w:r>
      <w:r>
        <w:rPr>
          <w:bCs/>
          <w:b/>
        </w:rPr>
        <w:t xml:space="preserve">:</w:t>
      </w:r>
      <w:r>
        <w:t xml:space="preserve"> </w:t>
      </w:r>
      <w:r>
        <w:t xml:space="preserve">show</w:t>
      </w:r>
      <w:r>
        <w:t xml:space="preserve"> </w:t>
      </w:r>
      <w:r>
        <w:rPr>
          <w:bCs/>
          <w:b/>
        </w:rPr>
        <w:t xml:space="preserve">“</w:t>
      </w:r>
      <w:r>
        <w:rPr>
          <w:bCs/>
          <w:b/>
        </w:rPr>
        <w:t xml:space="preserve">Requirements for your qualification aren’t published — contact the provider</w:t>
      </w:r>
      <w:r>
        <w:rPr>
          <w:bCs/>
          <w:b/>
        </w:rPr>
        <w:t xml:space="preserve">”</w:t>
      </w:r>
      <w:r>
        <w:t xml:space="preserve">, with the provider’s website.</w:t>
      </w:r>
    </w:p>
    <w:p>
      <w:pPr>
        <w:pStyle w:val="FirstParagraph"/>
      </w:pPr>
      <w:r>
        <w:t xml:space="preserve">The API looks requirements up. It never decides whether a student is eligible.</w:t>
      </w:r>
    </w:p>
    <w:p>
      <w:pPr>
        <w:pStyle w:val="BodyText"/>
      </w:pPr>
      <w:r>
        <w:rPr>
          <w:bCs/>
          <w:b/>
        </w:rPr>
        <w:t xml:space="preserve">Provider detail:</w:t>
      </w:r>
      <w:r>
        <w:rPr>
          <w:bCs/>
          <w:b/>
        </w:rPr>
        <w:t xml:space="preserve"> </w:t>
      </w:r>
      <w:r>
        <w:rPr>
          <w:rStyle w:val="VerbatimChar"/>
          <w:bCs/>
          <w:b/>
        </w:rPr>
        <w:t xml:space="preserve">entry_matrix[]</w:t>
      </w:r>
      <w:r>
        <w:t xml:space="preserve"> </w:t>
      </w:r>
      <w:r>
        <w:t xml:space="preserve">(admitted rows; narrowed to</w:t>
      </w:r>
      <w:r>
        <w:t xml:space="preserve"> </w:t>
      </w:r>
      <w:r>
        <w:rPr>
          <w:rStyle w:val="VerbatimChar"/>
        </w:rPr>
        <w:t xml:space="preserve">edu_country</w:t>
      </w:r>
      <w:r>
        <w:t xml:space="preserve"> </w:t>
      </w:r>
      <w:r>
        <w:t xml:space="preserve">when sent):</w:t>
      </w:r>
      <w:r>
        <w:t xml:space="preserve"> </w:t>
      </w:r>
      <w:r>
        <w:rPr>
          <w:rStyle w:val="VerbatimChar"/>
        </w:rPr>
        <w:t xml:space="preserve">country</w:t>
      </w:r>
      <w:r>
        <w:t xml:space="preserve">,</w:t>
      </w:r>
      <w:r>
        <w:t xml:space="preserve"> </w:t>
      </w:r>
      <w:r>
        <w:rPr>
          <w:rStyle w:val="VerbatimChar"/>
        </w:rPr>
        <w:t xml:space="preserve">study_level</w:t>
      </w:r>
      <w:r>
        <w:t xml:space="preserve"> </w:t>
      </w:r>
      <w:r>
        <w:t xml:space="preserve">(the provider’s own label),</w:t>
      </w:r>
      <w:r>
        <w:t xml:space="preserve"> </w:t>
      </w:r>
      <w:r>
        <w:rPr>
          <w:rStyle w:val="VerbatimChar"/>
        </w:rPr>
        <w:t xml:space="preserve">qualification</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band</w:t>
      </w:r>
      <w:r>
        <w:t xml:space="preserve">,</w:t>
      </w:r>
      <w:r>
        <w:t xml:space="preserve"> </w:t>
      </w:r>
      <w:r>
        <w:rPr>
          <w:rStyle w:val="VerbatimChar"/>
        </w:rPr>
        <w:t xml:space="preserve">course_code</w:t>
      </w:r>
      <w:r>
        <w:t xml:space="preserve"> </w:t>
      </w:r>
      <w:r>
        <w:t xml:space="preserve">(only on rows for one course),</w:t>
      </w:r>
      <w:r>
        <w:t xml:space="preserve"> </w:t>
      </w:r>
      <w:r>
        <w:rPr>
          <w:rStyle w:val="VerbatimChar"/>
        </w:rPr>
        <w:t xml:space="preserve">conditions</w:t>
      </w:r>
      <w:r>
        <w:t xml:space="preserve">,</w:t>
      </w:r>
      <w:r>
        <w:t xml:space="preserve"> </w:t>
      </w:r>
      <w:r>
        <w:rPr>
          <w:rStyle w:val="VerbatimChar"/>
        </w:rPr>
        <w:t xml:space="preserve">as_at</w:t>
      </w:r>
      <w:r>
        <w:t xml:space="preserve">.</w:t>
      </w:r>
      <w:r>
        <w:t xml:space="preserve"> </w:t>
      </w:r>
      <w:r>
        <w:rPr>
          <w:rStyle w:val="VerbatimChar"/>
        </w:rPr>
        <w:t xml:space="preserve">scale</w:t>
      </w:r>
      <w:r>
        <w:t xml:space="preserve"> </w:t>
      </w:r>
      <w:r>
        <w:rPr>
          <w:rStyle w:val="VerbatimChar"/>
        </w:rPr>
        <w:t xml:space="preserve">"none"</w:t>
      </w:r>
      <w:r>
        <w:t xml:space="preserve"> </w:t>
      </w:r>
      <w:r>
        <w:t xml:space="preserve">means the row states no minimum on a scale: show</w:t>
      </w:r>
      <w:r>
        <w:t xml:space="preserve"> </w:t>
      </w:r>
      <w:r>
        <w:rPr>
          <w:rStyle w:val="VerbatimChar"/>
        </w:rPr>
        <w:t xml:space="preserve">min_grade</w:t>
      </w:r>
      <w:r>
        <w:t xml:space="preserve"> </w:t>
      </w:r>
      <w:r>
        <w:t xml:space="preserve">as printed, when present, with</w:t>
      </w:r>
      <w:r>
        <w:t xml:space="preserve"> </w:t>
      </w:r>
      <w:r>
        <w:t xml:space="preserve">“</w:t>
      </w:r>
      <w:r>
        <w:t xml:space="preserve">This qualification is considered case by case</w:t>
      </w:r>
      <w:r>
        <w:t xml:space="preserve">”</w:t>
      </w:r>
      <w:r>
        <w:t xml:space="preserve"> </w:t>
      </w:r>
      <w:r>
        <w:t xml:space="preserve">(the same rule as</w:t>
      </w:r>
      <w:r>
        <w:t xml:space="preserve"> </w:t>
      </w:r>
      <w:r>
        <w:rPr>
          <w:rStyle w:val="VerbatimChar"/>
        </w:rPr>
        <w:t xml:space="preserve">case_by_case</w:t>
      </w:r>
      <w:r>
        <w:t xml:space="preserve"> </w:t>
      </w:r>
      <w:r>
        <w:t xml:space="preserve">above). A row with</w:t>
      </w:r>
      <w:r>
        <w:t xml:space="preserve"> </w:t>
      </w:r>
      <w:r>
        <w:rPr>
          <w:rStyle w:val="VerbatimChar"/>
        </w:rPr>
        <w:t xml:space="preserve">min_grade</w:t>
      </w:r>
      <w:r>
        <w:t xml:space="preserve"> </w:t>
      </w:r>
      <w:r>
        <w:t xml:space="preserve">null always has</w:t>
      </w:r>
      <w:r>
        <w:t xml:space="preserve"> </w:t>
      </w:r>
      <w:r>
        <w:rPr>
          <w:rStyle w:val="VerbatimChar"/>
        </w:rPr>
        <w:t xml:space="preserve">scale</w:t>
      </w:r>
      <w:r>
        <w:t xml:space="preserve"> </w:t>
      </w:r>
      <w:r>
        <w:rPr>
          <w:rStyle w:val="VerbatimChar"/>
        </w:rPr>
        <w:t xml:space="preserve">"none"</w:t>
      </w:r>
      <w:r>
        <w:t xml:space="preserve">.</w:t>
      </w:r>
    </w:p>
    <w:p>
      <w:pPr>
        <w:pStyle w:val="BodyText"/>
      </w:pPr>
      <w:r>
        <w:rPr>
          <w:bCs/>
          <w:b/>
        </w:rPr>
        <w:t xml:space="preserve">Worked example (Pilot, measured 29 October 2026, admitted rows only):</w:t>
      </w:r>
      <w:r>
        <w:t xml:space="preserve"> </w:t>
      </w:r>
      <w:r>
        <w:t xml:space="preserve">RMIT University, Bachelor of Engineering (Honours), CRICOS</w:t>
      </w:r>
      <w:r>
        <w:t xml:space="preserve"> </w:t>
      </w:r>
      <w:r>
        <w:rPr>
          <w:rStyle w:val="VerbatimChar"/>
        </w:rPr>
        <w:t xml:space="preserve">0100714</w:t>
      </w:r>
      <w:r>
        <w:t xml:space="preserve">, for a student from India.</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w:t>
      </w:r>
      <w:r>
        <w:rPr>
          <w:rStyle w:val="NormalTok"/>
        </w:rPr>
        <w:t xml:space="preserve"> </w:t>
      </w:r>
      <w:r>
        <w:rPr>
          <w:rStyle w:val="FunctionTok"/>
        </w:rPr>
        <w:t xml:space="preserve">{</w:t>
      </w:r>
      <w:r>
        <w:br/>
      </w:r>
      <w:r>
        <w:rPr>
          <w:rStyle w:val="NormalTok"/>
        </w:rPr>
        <w:t xml:space="preserve">  </w:t>
      </w:r>
      <w:r>
        <w:rPr>
          <w:rStyle w:val="DataTypeTok"/>
        </w:rPr>
        <w:t xml:space="preserve">"min_score"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"min_score_basis"</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"benchmark_band"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"prerequisites"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"selection_tasks"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"requirements_note"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"rows"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"The provider publishes a band table for this country, but the course page prints no band to enter it with."</w:t>
      </w:r>
      <w:r>
        <w:rPr>
          <w:rStyle w:val="FunctionTok"/>
        </w:rPr>
        <w:t xml:space="preserve">,</w:t>
      </w:r>
      <w:r>
        <w:br/>
      </w:r>
      <w:r>
        <w:rPr>
          <w:rStyle w:val="NormalTok"/>
        </w:rPr>
        <w:t xml:space="preserve">    </w:t>
      </w:r>
      <w:r>
        <w:rPr>
          <w:rStyle w:val="DataTypeTok"/>
        </w:rPr>
        <w:t xml:space="preserve">"contact"</w:t>
      </w:r>
      <w:r>
        <w:rPr>
          <w:rStyle w:val="FunctionTok"/>
        </w:rPr>
        <w:t xml:space="preserve">:</w:t>
      </w:r>
      <w:r>
        <w:rPr>
          <w:rStyle w:val="NormalTok"/>
        </w:rPr>
        <w:t xml:space="preserve"> </w:t>
      </w:r>
      <w:r>
        <w:rPr>
          <w:rStyle w:val="StringTok"/>
        </w:rPr>
        <w:t xml:space="preserve">"https://www.rmit.edu.au"</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provider publishes an India table, but this course’s page prints no band to enter it with, so the answer is step 5: show</w:t>
      </w:r>
      <w:r>
        <w:t xml:space="preserve"> </w:t>
      </w:r>
      <w:r>
        <w:t xml:space="preserve">“</w:t>
      </w:r>
      <w:r>
        <w:t xml:space="preserve">contact the provider</w:t>
      </w:r>
      <w:r>
        <w:t xml:space="preserve">”</w:t>
      </w:r>
      <w:r>
        <w:t xml:space="preserve">. The same provider’s table: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"entry_matrix":</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"All India Senior School Certificate (AISSC) – 10+2"</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65%"</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"State Boards of Education (Higher Secondary Certificate, HSC)"</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70%"</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NormalTok"/>
        </w:rPr>
        <w:t xml:space="preserve"> </w:t>
      </w:r>
      <w:r>
        <w:rPr>
          <w:rStyle w:val="FunctionTok"/>
        </w:rPr>
        <w:t xml:space="preserve">}</w:t>
      </w:r>
      <w:r>
        <w:br/>
      </w:r>
      <w:r>
        <w:rPr>
          <w:rStyle w:val="OtherTok"/>
        </w:rPr>
        <w:t xml:space="preserve">]</w:t>
      </w:r>
    </w:p>
    <w:p>
      <w:pPr>
        <w:pStyle w:val="FirstParagraph"/>
      </w:pPr>
      <w:r>
        <w:t xml:space="preserve">33 rows for India (343 for all countries). A course that names its band (for example</w:t>
      </w:r>
      <w:r>
        <w:t xml:space="preserve"> </w:t>
      </w:r>
      <w:r>
        <w:t xml:space="preserve">“</w:t>
      </w:r>
      <w:r>
        <w:t xml:space="preserve">65%</w:t>
      </w:r>
      <w:r>
        <w:t xml:space="preserve">”</w:t>
      </w:r>
      <w:r>
        <w:t xml:space="preserve">) resolves at step 3 to the rows of that band; this course names none.</w:t>
      </w:r>
    </w:p>
    <w:p>
      <w:pPr>
        <w:pStyle w:val="BodyText"/>
      </w:pPr>
      <w:r>
        <w:t xml:space="preserve">A provider row with no minimum on a scale (same provider, measured 29 October 2026):</w:t>
      </w:r>
    </w:p>
    <w:p>
      <w:pPr>
        <w:pStyle w:val="SourceCode"/>
      </w:pP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"TW"</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"Foundation Studies"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"Senior High School Diploma"</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"Completion of Senior High School Diploma"</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"none"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NormalTok"/>
        </w:rPr>
        <w:t xml:space="preserve"> </w:t>
      </w:r>
      <w:r>
        <w:rPr>
          <w:rStyle w:val="FunctionTok"/>
        </w:rPr>
        <w:t xml:space="preserve">}</w:t>
      </w:r>
    </w:p>
    <w:p>
      <w:pPr>
        <w:pStyle w:val="FirstParagraph"/>
      </w:pPr>
      <w:r>
        <w:t xml:space="preserve">Show</w:t>
      </w:r>
      <w:r>
        <w:t xml:space="preserve"> </w:t>
      </w:r>
      <w:r>
        <w:t xml:space="preserve">“</w:t>
      </w:r>
      <w:r>
        <w:t xml:space="preserve">Senior High School Diploma: Completion of Senior High School Diploma. This qualification is considered case by case.</w:t>
      </w:r>
      <w:r>
        <w:t xml:space="preserve">”</w:t>
      </w:r>
    </w:p>
    <w:p>
      <w:pPr>
        <w:pStyle w:val="BodyText"/>
      </w:pPr>
      <w:r>
        <w:t xml:space="preserve">The same course without</w:t>
      </w:r>
      <w:r>
        <w:t xml:space="preserve"> </w:t>
      </w:r>
      <w:r>
        <w:rPr>
          <w:rStyle w:val="VerbatimChar"/>
        </w:rPr>
        <w:t xml:space="preserve">edu_country</w:t>
      </w:r>
      <w:r>
        <w:t xml:space="preserve"> </w:t>
      </w:r>
      <w:r>
        <w:t xml:space="preserve">(its own published requirements; nothing is read from this course’s page yet, so every field is empty and there is no</w:t>
      </w:r>
      <w:r>
        <w:t xml:space="preserve"> </w:t>
      </w:r>
      <w:r>
        <w:rPr>
          <w:rStyle w:val="VerbatimChar"/>
        </w:rPr>
        <w:t xml:space="preserve">resolution</w:t>
      </w:r>
      <w:r>
        <w:t xml:space="preserve">):</w:t>
      </w:r>
    </w:p>
    <w:p>
      <w:pPr>
        <w:pStyle w:val="SourceCode"/>
      </w:pPr>
      <w:r>
        <w:rPr>
          <w:rStyle w:val="ErrorTok"/>
        </w:rPr>
        <w:t xml:space="preserve">"entry":</w:t>
      </w:r>
      <w:r>
        <w:rPr>
          <w:rStyle w:val="NormalTok"/>
        </w:rPr>
        <w:t xml:space="preserve"> </w:t>
      </w:r>
      <w:r>
        <w:rPr>
          <w:rStyle w:val="FunctionTok"/>
        </w:rPr>
        <w:t xml:space="preserve">{</w:t>
      </w:r>
      <w:r>
        <w:rPr>
          <w:rStyle w:val="NormalTok"/>
        </w:rPr>
        <w:t xml:space="preserve"> </w:t>
      </w:r>
      <w:r>
        <w:rPr>
          <w:rStyle w:val="DataTypeTok"/>
        </w:rPr>
        <w:t xml:space="preserve">"min_score"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"min_score_basis"</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"benchmark_band"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"prerequisites"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"selection_tasks"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"requirements_note"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For a country the provider publishes nothing for (for example</w:t>
      </w:r>
      <w:r>
        <w:t xml:space="preserve"> </w:t>
      </w:r>
      <w:r>
        <w:rPr>
          <w:rStyle w:val="VerbatimChar"/>
        </w:rPr>
        <w:t xml:space="preserve">edu_country</w:t>
      </w:r>
      <w:r>
        <w:t xml:space="preserve"> </w:t>
      </w:r>
      <w:r>
        <w:rPr>
          <w:rStyle w:val="VerbatimChar"/>
        </w:rPr>
        <w:t xml:space="preserve">"ZW"</w:t>
      </w:r>
      <w:r>
        <w:t xml:space="preserve">),</w:t>
      </w:r>
      <w:r>
        <w:t xml:space="preserve"> </w:t>
      </w:r>
      <w:r>
        <w:rPr>
          <w:rStyle w:val="VerbatimChar"/>
        </w:rPr>
        <w:t xml:space="preserve">resolution</w:t>
      </w:r>
      <w:r>
        <w:t xml:space="preserve"> </w:t>
      </w:r>
      <w:r>
        <w:t xml:space="preserve">is step 5 with</w:t>
      </w:r>
      <w:r>
        <w:t xml:space="preserve"> </w:t>
      </w:r>
      <w:r>
        <w:rPr>
          <w:rStyle w:val="VerbatimChar"/>
        </w:rPr>
        <w:t xml:space="preserve">note</w:t>
      </w:r>
      <w:r>
        <w:t xml:space="preserve"> </w:t>
      </w:r>
      <w:r>
        <w:t xml:space="preserve">“</w:t>
      </w:r>
      <w:r>
        <w:t xml:space="preserve">No published requirement for this country.</w:t>
      </w:r>
      <w:r>
        <w:t xml:space="preserve">”</w:t>
      </w:r>
      <w:r>
        <w:t xml:space="preserve"> </w:t>
      </w:r>
      <w:r>
        <w:t xml:space="preserve">Render every step 5 the same way:</w:t>
      </w:r>
      <w:r>
        <w:t xml:space="preserve"> </w:t>
      </w:r>
      <w:r>
        <w:t xml:space="preserve">“</w:t>
      </w:r>
      <w:r>
        <w:t xml:space="preserve">contact the provider</w:t>
      </w:r>
      <w:r>
        <w:t xml:space="preserve">”</w:t>
      </w:r>
      <w:r>
        <w:t xml:space="preserve">, with</w:t>
      </w:r>
      <w:r>
        <w:t xml:space="preserve"> </w:t>
      </w:r>
      <w:r>
        <w:rPr>
          <w:rStyle w:val="VerbatimChar"/>
        </w:rPr>
        <w:t xml:space="preserve">contact</w:t>
      </w:r>
      <w:r>
        <w:t xml:space="preserve">.</w:t>
      </w:r>
    </w:p>
    <w:p>
      <w:pPr>
        <w:pStyle w:val="BodyText"/>
      </w:pPr>
      <w:r>
        <w:rPr>
          <w:bCs/>
          <w:b/>
        </w:rPr>
        <w:t xml:space="preserve">Integrating:</w:t>
      </w:r>
    </w:p>
    <w:p>
      <w:pPr>
        <w:numPr>
          <w:ilvl w:val="0"/>
          <w:numId w:val="1013"/>
        </w:numPr>
        <w:pStyle w:val="Compact"/>
      </w:pPr>
      <w:r>
        <w:rPr>
          <w:bCs/>
          <w:b/>
        </w:rPr>
        <w:t xml:space="preserve">What the website shows is built by the website team.</w:t>
      </w:r>
      <w:r>
        <w:t xml:space="preserve"> </w:t>
      </w:r>
      <w:r>
        <w:t xml:space="preserve">The API returns the data and the outcome words above; it does not provide page components.</w:t>
      </w:r>
    </w:p>
    <w:p>
      <w:pPr>
        <w:numPr>
          <w:ilvl w:val="0"/>
          <w:numId w:val="1013"/>
        </w:numPr>
        <w:pStyle w:val="Compact"/>
      </w:pPr>
      <w:r>
        <w:rPr>
          <w:bCs/>
          <w:b/>
        </w:rPr>
        <w:t xml:space="preserve">Website (Wix):</w:t>
      </w:r>
      <w:r>
        <w:t xml:space="preserve"> </w:t>
      </w:r>
      <w:r>
        <w:t xml:space="preserve">let the student choose their country of prior education once (for example on the course page or in their profile), keep it in their session, and send it as</w:t>
      </w:r>
      <w:r>
        <w:t xml:space="preserve"> </w:t>
      </w:r>
      <w:r>
        <w:rPr>
          <w:rStyle w:val="VerbatimChar"/>
        </w:rPr>
        <w:t xml:space="preserve">edu_country</w:t>
      </w:r>
      <w:r>
        <w:t xml:space="preserve"> </w:t>
      </w:r>
      <w:r>
        <w:t xml:space="preserve">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from your backend code, as for every call (the key never reaches the browser). Render</w:t>
      </w:r>
      <w:r>
        <w:t xml:space="preserve"> </w:t>
      </w:r>
      <w:r>
        <w:rPr>
          <w:rStyle w:val="VerbatimChar"/>
        </w:rPr>
        <w:t xml:space="preserve">entry.resolution</w:t>
      </w:r>
      <w:r>
        <w:t xml:space="preserve"> </w:t>
      </w:r>
      <w:r>
        <w:t xml:space="preserve">with the three rules above; show</w:t>
      </w:r>
      <w:r>
        <w:t xml:space="preserve"> </w:t>
      </w:r>
      <w:r>
        <w:rPr>
          <w:rStyle w:val="VerbatimChar"/>
        </w:rPr>
        <w:t xml:space="preserve">as_at</w:t>
      </w:r>
      <w:r>
        <w:t xml:space="preserve"> </w:t>
      </w:r>
      <w:r>
        <w:t xml:space="preserve">with each row.</w:t>
      </w:r>
      <w:r>
        <w:t xml:space="preserve"> </w:t>
      </w:r>
      <w:r>
        <w:rPr>
          <w:rStyle w:val="VerbatimChar"/>
        </w:rPr>
        <w:t xml:space="preserve">sync</w:t>
      </w:r>
      <w:r>
        <w:t xml:space="preserve"> </w:t>
      </w:r>
      <w:r>
        <w:t xml:space="preserve">does not carry entry requirements: fetch them 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when the page is shown (or cache them by course and country).</w:t>
      </w:r>
    </w:p>
    <w:p>
      <w:pPr>
        <w:numPr>
          <w:ilvl w:val="0"/>
          <w:numId w:val="1013"/>
        </w:numPr>
        <w:pStyle w:val="Compact"/>
      </w:pPr>
      <w:r>
        <w:rPr>
          <w:bCs/>
          <w:b/>
        </w:rPr>
        <w:t xml:space="preserve">Zoho:</w:t>
      </w:r>
      <w:r>
        <w:t xml:space="preserve"> </w:t>
      </w:r>
      <w:r>
        <w:t xml:space="preserve">Zoho’s own API (</w:t>
      </w:r>
      <w:r>
        <w:rPr>
          <w:rStyle w:val="VerbatimChar"/>
        </w:rPr>
        <w:t xml:space="preserve">zoho-api-v2</w:t>
      </w:r>
      <w:r>
        <w:t xml:space="preserve">) is unchanged and carries no entry requirements. A Zoho workflow that needs them for a lead calls Website API v2</w:t>
      </w:r>
      <w:r>
        <w:t xml:space="preserve"> </w:t>
      </w:r>
      <w:r>
        <w:rPr>
          <w:rStyle w:val="VerbatimChar"/>
        </w:rPr>
        <w:t xml:space="preserve">course</w:t>
      </w:r>
      <w:r>
        <w:t xml:space="preserve"> </w:t>
      </w:r>
      <w:r>
        <w:t xml:space="preserve">with the lead’s country of prior education, with a key issued for that use.</w:t>
      </w:r>
    </w:p>
    <w:p>
      <w:pPr>
        <w:numPr>
          <w:ilvl w:val="0"/>
          <w:numId w:val="1013"/>
        </w:numPr>
        <w:pStyle w:val="Compact"/>
      </w:pPr>
      <w:r>
        <w:rPr>
          <w:bCs/>
          <w:b/>
        </w:rPr>
        <w:t xml:space="preserve">Other consumers:</w:t>
      </w:r>
      <w:r>
        <w:t xml:space="preserve"> </w:t>
      </w:r>
      <w:r>
        <w:t xml:space="preserve">treat</w:t>
      </w:r>
      <w:r>
        <w:t xml:space="preserve"> </w:t>
      </w:r>
      <w:r>
        <w:rPr>
          <w:rStyle w:val="VerbatimChar"/>
        </w:rPr>
        <w:t xml:space="preserve">entry</w:t>
      </w:r>
      <w:r>
        <w:t xml:space="preserve"> </w:t>
      </w:r>
      <w:r>
        <w:t xml:space="preserve">and</w:t>
      </w:r>
      <w:r>
        <w:t xml:space="preserve"> </w:t>
      </w:r>
      <w:r>
        <w:rPr>
          <w:rStyle w:val="VerbatimChar"/>
        </w:rPr>
        <w:t xml:space="preserve">entry_matrix</w:t>
      </w:r>
      <w:r>
        <w:t xml:space="preserve"> </w:t>
      </w:r>
      <w:r>
        <w:t xml:space="preserve">as optional; a value not held is</w:t>
      </w:r>
      <w:r>
        <w:t xml:space="preserve"> </w:t>
      </w:r>
      <w:r>
        <w:rPr>
          <w:rStyle w:val="VerbatimChar"/>
        </w:rPr>
        <w:t xml:space="preserve">null</w:t>
      </w:r>
      <w:r>
        <w:t xml:space="preserve"> </w:t>
      </w:r>
      <w:r>
        <w:t xml:space="preserve">or empty, never a placeholder.</w:t>
      </w:r>
    </w:p>
    <w:p>
      <w:pPr>
        <w:pStyle w:val="FirstParagraph"/>
      </w:pPr>
      <w:r>
        <w:t xml:space="preserve">Coverage grows as each provider’s published table is admitted by a person (section 8).</w:t>
      </w:r>
    </w:p>
    <w:bookmarkEnd w:id="36"/>
    <w:bookmarkEnd w:id="37"/>
    <w:bookmarkStart w:id="38" w:name="what-is-held-now"/>
    <w:p>
      <w:pPr>
        <w:pStyle w:val="Heading1"/>
      </w:pPr>
      <w:r>
        <w:t xml:space="preserve">8. What is held now</w:t>
      </w:r>
    </w:p>
    <w:p>
      <w:pPr>
        <w:pStyle w:val="FirstParagraph"/>
      </w:pPr>
      <w:r>
        <w:t xml:space="preserve">Courses or records the API returns holding a value (29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(23,732)</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(3,814)</w:t>
            </w:r>
          </w:p>
        </w:tc>
      </w:tr>
      <w:tr>
        <w:tc>
          <w:tcPr/>
          <w:p>
            <w:pPr>
              <w:pStyle w:val="Compact"/>
              <w:jc w:val="left"/>
            </w:pPr>
            <w:r>
              <w:t xml:space="preserve">Official course page</w:t>
            </w:r>
          </w:p>
        </w:tc>
        <w:tc>
          <w:tcPr/>
          <w:p>
            <w:pPr>
              <w:pStyle w:val="Compact"/>
              <w:jc w:val="left"/>
            </w:pPr>
            <w:r>
              <w:t xml:space="preserve">17,893</w:t>
            </w:r>
          </w:p>
        </w:tc>
        <w:tc>
          <w:tcPr/>
          <w:p>
            <w:pPr>
              <w:pStyle w:val="Compact"/>
              <w:jc w:val="left"/>
            </w:pPr>
            <w:r>
              <w:t xml:space="preserve">3,043</w:t>
            </w:r>
          </w:p>
        </w:tc>
        <w:tc>
          <w:tcPr/>
          <w:p>
            <w:pPr>
              <w:pStyle w:val="Compact"/>
              <w:jc w:val="left"/>
            </w:pPr>
            <w:r>
              <w:t xml:space="preserve">2,664</w:t>
            </w:r>
          </w:p>
        </w:tc>
      </w:tr>
      <w:tr>
        <w:tc>
          <w:tcPr/>
          <w:p>
            <w:pPr>
              <w:pStyle w:val="Compact"/>
              <w:jc w:val="left"/>
            </w:pPr>
            <w:r>
              <w:t xml:space="preserve">English requirements</w:t>
            </w:r>
          </w:p>
        </w:tc>
        <w:tc>
          <w:tcPr/>
          <w:p>
            <w:pPr>
              <w:pStyle w:val="Compact"/>
              <w:jc w:val="left"/>
            </w:pPr>
            <w:r>
              <w:t xml:space="preserve">16,032</w:t>
            </w:r>
          </w:p>
        </w:tc>
        <w:tc>
          <w:tcPr/>
          <w:p>
            <w:pPr>
              <w:pStyle w:val="Compact"/>
              <w:jc w:val="left"/>
            </w:pPr>
            <w:r>
              <w:t xml:space="preserve">2,356</w:t>
            </w:r>
          </w:p>
        </w:tc>
        <w:tc>
          <w:tcPr/>
          <w:p>
            <w:pPr>
              <w:pStyle w:val="Compact"/>
              <w:jc w:val="left"/>
            </w:pPr>
            <w:r>
              <w:t xml:space="preserve">2,009</w:t>
            </w:r>
          </w:p>
        </w:tc>
      </w:tr>
      <w:tr>
        <w:tc>
          <w:tcPr/>
          <w:p>
            <w:pPr>
              <w:pStyle w:val="Compact"/>
              <w:jc w:val="left"/>
            </w:pPr>
            <w:r>
              <w:t xml:space="preserve">of which Duolingo English Test (DET)</w:t>
            </w:r>
          </w:p>
        </w:tc>
        <w:tc>
          <w:tcPr/>
          <w:p>
            <w:pPr>
              <w:pStyle w:val="Compact"/>
              <w:jc w:val="left"/>
            </w:pPr>
            <w:r>
              <w:t xml:space="preserve">405</w:t>
            </w:r>
          </w:p>
        </w:tc>
        <w:tc>
          <w:tcPr/>
          <w:p>
            <w:pPr>
              <w:pStyle w:val="Compact"/>
              <w:jc w:val="left"/>
            </w:pPr>
            <w:r>
              <w:t xml:space="preserve">0</w:t>
            </w:r>
          </w:p>
        </w:tc>
        <w:tc>
          <w:tcPr/>
          <w:p>
            <w:pPr>
              <w:pStyle w:val="Compact"/>
              <w:jc w:val="left"/>
            </w:pPr>
            <w:r>
              <w:t xml:space="preserve">248</w:t>
            </w:r>
          </w:p>
        </w:tc>
      </w:tr>
      <w:tr>
        <w:tc>
          <w:tcPr/>
          <w:p>
            <w:pPr>
              <w:pStyle w:val="Compact"/>
              <w:jc w:val="left"/>
            </w:pPr>
            <w:r>
              <w:t xml:space="preserve">Intake months</w:t>
            </w:r>
          </w:p>
        </w:tc>
        <w:tc>
          <w:tcPr/>
          <w:p>
            <w:pPr>
              <w:pStyle w:val="Compact"/>
              <w:jc w:val="left"/>
            </w:pPr>
            <w:r>
              <w:t xml:space="preserve">9,374</w:t>
            </w:r>
          </w:p>
        </w:tc>
        <w:tc>
          <w:tcPr/>
          <w:p>
            <w:pPr>
              <w:pStyle w:val="Compact"/>
              <w:jc w:val="left"/>
            </w:pPr>
            <w:r>
              <w:t xml:space="preserve">2,140</w:t>
            </w:r>
          </w:p>
        </w:tc>
        <w:tc>
          <w:tcPr/>
          <w:p>
            <w:pPr>
              <w:pStyle w:val="Compact"/>
              <w:jc w:val="left"/>
            </w:pPr>
            <w:r>
              <w:t xml:space="preserve">1,613</w:t>
            </w:r>
          </w:p>
        </w:tc>
      </w:tr>
      <w:tr>
        <w:tc>
          <w:tcPr/>
          <w:p>
            <w:pPr>
              <w:pStyle w:val="Compact"/>
              <w:jc w:val="left"/>
            </w:pPr>
            <w:r>
              <w:t xml:space="preserve">Any tuition</w:t>
            </w:r>
          </w:p>
        </w:tc>
        <w:tc>
          <w:tcPr/>
          <w:p>
            <w:pPr>
              <w:pStyle w:val="Compact"/>
              <w:jc w:val="left"/>
            </w:pPr>
            <w:r>
              <w:t xml:space="preserve">23,564</w:t>
            </w:r>
          </w:p>
        </w:tc>
        <w:tc>
          <w:tcPr/>
          <w:p>
            <w:pPr>
              <w:pStyle w:val="Compact"/>
              <w:jc w:val="left"/>
            </w:pPr>
            <w:r>
              <w:t xml:space="preserve">1,414</w:t>
            </w:r>
          </w:p>
        </w:tc>
        <w:tc>
          <w:tcPr/>
          <w:p>
            <w:pPr>
              <w:pStyle w:val="Compact"/>
              <w:jc w:val="left"/>
            </w:pPr>
            <w:r>
              <w:t xml:space="preserve">680</w:t>
            </w:r>
          </w:p>
        </w:tc>
      </w:tr>
      <w:tr>
        <w:tc>
          <w:tcPr/>
          <w:p>
            <w:pPr>
              <w:pStyle w:val="Compact"/>
              <w:jc w:val="left"/>
            </w:pPr>
            <w:r>
              <w:t xml:space="preserve">Study area</w:t>
            </w:r>
          </w:p>
        </w:tc>
        <w:tc>
          <w:tcPr/>
          <w:p>
            <w:pPr>
              <w:pStyle w:val="Compact"/>
              <w:jc w:val="left"/>
            </w:pPr>
            <w:r>
              <w:t xml:space="preserve">23,732</w:t>
            </w:r>
          </w:p>
        </w:tc>
        <w:tc>
          <w:tcPr/>
          <w:p>
            <w:pPr>
              <w:pStyle w:val="Compact"/>
              <w:jc w:val="left"/>
            </w:pPr>
            <w:r>
              <w:t xml:space="preserve">6,225</w:t>
            </w:r>
          </w:p>
        </w:tc>
        <w:tc>
          <w:tcPr/>
          <w:p>
            <w:pPr>
              <w:pStyle w:val="Compact"/>
              <w:jc w:val="left"/>
            </w:pPr>
            <w:r>
              <w:t xml:space="preserve">3,774</w:t>
            </w:r>
          </w:p>
        </w:tc>
      </w:tr>
      <w:tr>
        <w:tc>
          <w:tcPr/>
          <w:p>
            <w:pPr>
              <w:pStyle w:val="Compact"/>
              <w:jc w:val="left"/>
            </w:pPr>
            <w:r>
              <w:t xml:space="preserve">Study level</w:t>
            </w:r>
          </w:p>
        </w:tc>
        <w:tc>
          <w:tcPr/>
          <w:p>
            <w:pPr>
              <w:pStyle w:val="Compact"/>
              <w:jc w:val="left"/>
            </w:pPr>
            <w:r>
              <w:t xml:space="preserve">23,732</w:t>
            </w:r>
          </w:p>
        </w:tc>
        <w:tc>
          <w:tcPr/>
          <w:p>
            <w:pPr>
              <w:pStyle w:val="Compact"/>
              <w:jc w:val="left"/>
            </w:pPr>
            <w:r>
              <w:t xml:space="preserve">6,254</w:t>
            </w:r>
          </w:p>
        </w:tc>
        <w:tc>
          <w:tcPr/>
          <w:p>
            <w:pPr>
              <w:pStyle w:val="Compact"/>
              <w:jc w:val="left"/>
            </w:pPr>
            <w:r>
              <w:t xml:space="preserve">3,814</w:t>
            </w:r>
          </w:p>
        </w:tc>
      </w:tr>
      <w:tr>
        <w:tc>
          <w:tcPr/>
          <w:p>
            <w:pPr>
              <w:pStyle w:val="Compact"/>
              <w:jc w:val="left"/>
            </w:pPr>
            <w:r>
              <w:t xml:space="preserve">Duration (months)</w:t>
            </w:r>
          </w:p>
        </w:tc>
        <w:tc>
          <w:tcPr/>
          <w:p>
            <w:pPr>
              <w:pStyle w:val="Compact"/>
              <w:jc w:val="left"/>
            </w:pPr>
            <w:r>
              <w:t xml:space="preserve">23,732</w:t>
            </w:r>
          </w:p>
        </w:tc>
        <w:tc>
          <w:tcPr/>
          <w:p>
            <w:pPr>
              <w:pStyle w:val="Compact"/>
              <w:jc w:val="left"/>
            </w:pPr>
            <w:r>
              <w:t xml:space="preserve">2,338</w:t>
            </w:r>
          </w:p>
        </w:tc>
        <w:tc>
          <w:tcPr/>
          <w:p>
            <w:pPr>
              <w:pStyle w:val="Compact"/>
              <w:jc w:val="left"/>
            </w:pPr>
            <w:r>
              <w:t xml:space="preserve">1,324</w:t>
            </w:r>
          </w:p>
        </w:tc>
      </w:tr>
      <w:tr>
        <w:tc>
          <w:tcPr/>
          <w:p>
            <w:pPr>
              <w:pStyle w:val="Compact"/>
              <w:jc w:val="left"/>
            </w:pPr>
            <w:r>
              <w:t xml:space="preserve">Delivery mode</w:t>
            </w:r>
          </w:p>
        </w:tc>
        <w:tc>
          <w:tcPr/>
          <w:p>
            <w:pPr>
              <w:pStyle w:val="Compact"/>
              <w:jc w:val="left"/>
            </w:pPr>
            <w:r>
              <w:t xml:space="preserve">23,712</w:t>
            </w:r>
          </w:p>
        </w:tc>
        <w:tc>
          <w:tcPr/>
          <w:p>
            <w:pPr>
              <w:pStyle w:val="Compact"/>
              <w:jc w:val="left"/>
            </w:pPr>
            <w:r>
              <w:t xml:space="preserve">2,980</w:t>
            </w:r>
          </w:p>
        </w:tc>
        <w:tc>
          <w:tcPr/>
          <w:p>
            <w:pPr>
              <w:pStyle w:val="Compact"/>
              <w:jc w:val="left"/>
            </w:pPr>
            <w:r>
              <w:t xml:space="preserve">2,507</w:t>
            </w:r>
          </w:p>
        </w:tc>
      </w:tr>
      <w:tr>
        <w:tc>
          <w:tcPr/>
          <w:p>
            <w:pPr>
              <w:pStyle w:val="Compact"/>
              <w:jc w:val="left"/>
            </w:pPr>
            <w:r>
              <w:t xml:space="preserve">At least one campus</w:t>
            </w:r>
          </w:p>
        </w:tc>
        <w:tc>
          <w:tcPr/>
          <w:p>
            <w:pPr>
              <w:pStyle w:val="Compact"/>
              <w:jc w:val="left"/>
            </w:pPr>
            <w:r>
              <w:t xml:space="preserve">23,701</w:t>
            </w:r>
          </w:p>
        </w:tc>
        <w:tc>
          <w:tcPr/>
          <w:p>
            <w:pPr>
              <w:pStyle w:val="Compact"/>
              <w:jc w:val="left"/>
            </w:pPr>
            <w:r>
              <w:t xml:space="preserve">2,339</w:t>
            </w:r>
          </w:p>
        </w:tc>
        <w:tc>
          <w:tcPr/>
          <w:p>
            <w:pPr>
              <w:pStyle w:val="Compact"/>
              <w:jc w:val="left"/>
            </w:pPr>
            <w:r>
              <w:t xml:space="preserve">2,088</w:t>
            </w:r>
          </w:p>
        </w:tc>
      </w:tr>
      <w:tr>
        <w:tc>
          <w:tcPr/>
          <w:p>
            <w:pPr>
              <w:pStyle w:val="Compact"/>
              <w:jc w:val="left"/>
            </w:pPr>
            <w:r>
              <w:t xml:space="preserve">At least one linked scholarship</w:t>
            </w:r>
          </w:p>
        </w:tc>
        <w:tc>
          <w:tcPr/>
          <w:p>
            <w:pPr>
              <w:pStyle w:val="Compact"/>
              <w:jc w:val="left"/>
            </w:pPr>
            <w:r>
              <w:t xml:space="preserve">9,136</w:t>
            </w:r>
          </w:p>
        </w:tc>
        <w:tc>
          <w:tcPr/>
          <w:p>
            <w:pPr>
              <w:pStyle w:val="Compact"/>
              <w:jc w:val="left"/>
            </w:pPr>
            <w:r>
              <w:t xml:space="preserve">1,456</w:t>
            </w:r>
          </w:p>
        </w:tc>
        <w:tc>
          <w:tcPr/>
          <w:p>
            <w:pPr>
              <w:pStyle w:val="Compact"/>
              <w:jc w:val="left"/>
            </w:pPr>
            <w:r>
              <w:t xml:space="preserve">990</w:t>
            </w:r>
          </w:p>
        </w:tc>
      </w:tr>
      <w:tr>
        <w:tc>
          <w:tcPr/>
          <w:p>
            <w:pPr>
              <w:pStyle w:val="Compact"/>
              <w:jc w:val="left"/>
            </w:pPr>
            <w:r>
              <w:t xml:space="preserve">Providers with courses</w:t>
            </w:r>
          </w:p>
        </w:tc>
        <w:tc>
          <w:tcPr/>
          <w:p>
            <w:pPr>
              <w:pStyle w:val="Compact"/>
              <w:jc w:val="left"/>
            </w:pPr>
            <w:r>
              <w:t xml:space="preserve">1,279</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1,114 (Australia 898, New Zealand 151, Canada 65); 1,111 open to international students. Providers with an approved logo: 1,463. QS 2027 ranked Australian providers: 38. QILT statistics: 116 Australian providers. Institution type: held for Australian and New Zealand providers (null for Canada).</w:t>
      </w:r>
    </w:p>
    <w:p>
      <w:pPr>
        <w:pStyle w:val="BodyText"/>
      </w:pPr>
      <w:r>
        <w:t xml:space="preserve">Academic entry requirements (7.9): provider tables admitted for 1 provider (343 rows across its countries); more providers’ tables are being read and wait for a person’s approval before they are returned. Course-level entry rows admitted: none yet. A course or provider without admitted rows returns</w:t>
      </w:r>
      <w:r>
        <w:t xml:space="preserve"> </w:t>
      </w:r>
      <w:r>
        <w:rPr>
          <w:rStyle w:val="VerbatimChar"/>
        </w:rPr>
        <w:t xml:space="preserve">entry</w:t>
      </w:r>
      <w:r>
        <w:t xml:space="preserve"> </w:t>
      </w:r>
      <w:r>
        <w:t xml:space="preserve">and</w:t>
      </w:r>
      <w:r>
        <w:t xml:space="preserve"> </w:t>
      </w:r>
      <w:r>
        <w:rPr>
          <w:rStyle w:val="VerbatimChar"/>
        </w:rPr>
        <w:t xml:space="preserve">entry_matrix</w:t>
      </w:r>
      <w:r>
        <w:t xml:space="preserve"> </w:t>
      </w:r>
      <w:r>
        <w:t xml:space="preserve">empty, and resolution step 5.</w:t>
      </w:r>
    </w:p>
    <w:bookmarkEnd w:id="38"/>
    <w:bookmarkStart w:id="39"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9"/>
    <w:bookmarkStart w:id="40"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40"/>
    <w:bookmarkStart w:id="41" w:name="production"/>
    <w:p>
      <w:pPr>
        <w:pStyle w:val="Heading1"/>
      </w:pPr>
      <w:r>
        <w:t xml:space="preserve">11. Production</w:t>
      </w:r>
    </w:p>
    <w:p>
      <w:pPr>
        <w:numPr>
          <w:ilvl w:val="0"/>
          <w:numId w:val="1014"/>
        </w:numPr>
        <w:pStyle w:val="Compact"/>
      </w:pPr>
      <w:r>
        <w:t xml:space="preserve">At go-live you receive a separate Production key by secure channel; the endpoint address does not change.</w:t>
      </w:r>
    </w:p>
    <w:p>
      <w:pPr>
        <w:numPr>
          <w:ilvl w:val="0"/>
          <w:numId w:val="1014"/>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4"/>
        </w:numPr>
        <w:pStyle w:val="Compact"/>
      </w:pPr>
      <w:r>
        <w:t xml:space="preserve">The Pilot key is disabled after the Production tests pass.</w:t>
      </w:r>
    </w:p>
    <w:bookmarkEnd w:id="41"/>
    <w:bookmarkStart w:id="42" w:name="acceptance-tests"/>
    <w:p>
      <w:pPr>
        <w:pStyle w:val="Heading1"/>
      </w:pPr>
      <w:r>
        <w:t xml:space="preserve">12. Acceptance tests</w:t>
      </w:r>
    </w:p>
    <w:p>
      <w:pPr>
        <w:pStyle w:val="FirstParagraph"/>
      </w:pPr>
      <w:r>
        <w:t xml:space="preserve">Counts are as measured on Pilot on 29 October 2026; they change as data is corrected and grows.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at the new address returns 200 with</w:t>
            </w:r>
            <w:r>
              <w:t xml:space="preserve"> </w:t>
            </w:r>
            <w:r>
              <w:rPr>
                <w:rStyle w:val="VerbatimChar"/>
              </w:rPr>
              <w:t xml:space="preserve">api_version: "website-v2"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35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107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3,814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1,111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1,463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r>
        <w:tc>
          <w:tcPr/>
          <w:p>
            <w:pPr>
              <w:pStyle w:val="Compact"/>
              <w:jc w:val="left"/>
            </w:pPr>
            <w:r>
              <w:t xml:space="preserve">20</w:t>
            </w:r>
          </w:p>
        </w:tc>
        <w:tc>
          <w:tcPr/>
          <w:p>
            <w:pPr>
              <w:pStyle w:val="Compact"/>
              <w:jc w:val="left"/>
            </w:pPr>
            <w:r>
              <w:t xml:space="preserve">Entry, contact provider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0100714 and</w:t>
            </w:r>
            <w:r>
              <w:t xml:space="preserve"> </w:t>
            </w:r>
            <w:r>
              <w:rPr>
                <w:rStyle w:val="VerbatimChar"/>
              </w:rPr>
              <w:t xml:space="preserve">edu_country</w:t>
            </w:r>
            <w:r>
              <w:t xml:space="preserve"> </w:t>
            </w:r>
            <w:r>
              <w:t xml:space="preserve">IN returns</w:t>
            </w:r>
            <w:r>
              <w:t xml:space="preserve"> </w:t>
            </w:r>
            <w:r>
              <w:rPr>
                <w:rStyle w:val="VerbatimChar"/>
              </w:rPr>
              <w:t xml:space="preserve">entry.resolution</w:t>
            </w:r>
            <w:r>
              <w:t xml:space="preserve"> </w:t>
            </w:r>
            <w:r>
              <w:t xml:space="preserve">with</w:t>
            </w:r>
            <w:r>
              <w:t xml:space="preserve"> </w:t>
            </w:r>
            <w:r>
              <w:rPr>
                <w:rStyle w:val="VerbatimChar"/>
              </w:rPr>
              <w:t xml:space="preserve">step</w:t>
            </w:r>
            <w:r>
              <w:t xml:space="preserve"> </w:t>
            </w:r>
            <w:r>
              <w:t xml:space="preserve">5 and</w:t>
            </w:r>
            <w:r>
              <w:t xml:space="preserve"> </w:t>
            </w:r>
            <w:r>
              <w:rPr>
                <w:rStyle w:val="VerbatimChar"/>
              </w:rPr>
              <w:t xml:space="preserve">outcome</w:t>
            </w:r>
            <w:r>
              <w:t xml:space="preserve"> </w:t>
            </w:r>
            <w:r>
              <w:rPr>
                <w:rStyle w:val="VerbatimChar"/>
              </w:rPr>
              <w:t xml:space="preserve">contact_provider</w:t>
            </w:r>
            <w:r>
              <w:t xml:space="preserve">; your page shows</w:t>
            </w:r>
            <w:r>
              <w:t xml:space="preserve"> </w:t>
            </w:r>
            <w:r>
              <w:t xml:space="preserve">“</w:t>
            </w:r>
            <w:r>
              <w:t xml:space="preserve">contact the provider</w:t>
            </w:r>
            <w:r>
              <w:t xml:space="preserve">”</w:t>
            </w:r>
          </w:p>
        </w:tc>
      </w:tr>
      <w:tr>
        <w:tc>
          <w:tcPr/>
          <w:p>
            <w:pPr>
              <w:pStyle w:val="Compact"/>
              <w:jc w:val="left"/>
            </w:pPr>
            <w:r>
              <w:t xml:space="preserve">21</w:t>
            </w:r>
          </w:p>
        </w:tc>
        <w:tc>
          <w:tcPr/>
          <w:p>
            <w:pPr>
              <w:pStyle w:val="Compact"/>
              <w:jc w:val="left"/>
            </w:pPr>
            <w:r>
              <w:t xml:space="preserve">Entry, provider table</w:t>
            </w:r>
          </w:p>
        </w:tc>
        <w:tc>
          <w:tcPr/>
          <w:p>
            <w:pPr>
              <w:pStyle w:val="Compact"/>
              <w:jc w:val="left"/>
            </w:pPr>
            <w:r>
              <w:rPr>
                <w:rStyle w:val="VerbatimChar"/>
              </w:rPr>
              <w:t xml:space="preserve">provider</w:t>
            </w:r>
            <w:r>
              <w:t xml:space="preserve"> </w:t>
            </w:r>
            <w:r>
              <w:t xml:space="preserve">with</w:t>
            </w:r>
            <w:r>
              <w:t xml:space="preserve"> </w:t>
            </w:r>
            <w:r>
              <w:rPr>
                <w:rStyle w:val="VerbatimChar"/>
              </w:rPr>
              <w:t xml:space="preserve">provider_id</w:t>
            </w:r>
            <w:r>
              <w:t xml:space="preserve"> </w:t>
            </w:r>
            <w:r>
              <w:t xml:space="preserve">provider:cricos:00122a returns 343</w:t>
            </w:r>
            <w:r>
              <w:t xml:space="preserve"> </w:t>
            </w:r>
            <w:r>
              <w:rPr>
                <w:rStyle w:val="VerbatimChar"/>
              </w:rPr>
              <w:t xml:space="preserve">entry_matrix</w:t>
            </w:r>
            <w:r>
              <w:t xml:space="preserve"> </w:t>
            </w:r>
            <w:r>
              <w:t xml:space="preserve">rows; with</w:t>
            </w:r>
            <w:r>
              <w:t xml:space="preserve"> </w:t>
            </w:r>
            <w:r>
              <w:rPr>
                <w:rStyle w:val="VerbatimChar"/>
              </w:rPr>
              <w:t xml:space="preserve">edu_country</w:t>
            </w:r>
            <w:r>
              <w:t xml:space="preserve"> </w:t>
            </w:r>
            <w:r>
              <w:t xml:space="preserve">IN, 33 rows, all</w:t>
            </w:r>
            <w:r>
              <w:t xml:space="preserve"> </w:t>
            </w:r>
            <w:r>
              <w:rPr>
                <w:rStyle w:val="VerbatimChar"/>
              </w:rPr>
              <w:t xml:space="preserve">country</w:t>
            </w:r>
            <w:r>
              <w:t xml:space="preserve"> </w:t>
            </w:r>
            <w:r>
              <w:t xml:space="preserve">IN</w:t>
            </w:r>
          </w:p>
        </w:tc>
      </w:tr>
      <w:tr>
        <w:tc>
          <w:tcPr/>
          <w:p>
            <w:pPr>
              <w:pStyle w:val="Compact"/>
              <w:jc w:val="left"/>
            </w:pPr>
            <w:r>
              <w:t xml:space="preserve">22</w:t>
            </w:r>
          </w:p>
        </w:tc>
        <w:tc>
          <w:tcPr/>
          <w:p>
            <w:pPr>
              <w:pStyle w:val="Compact"/>
              <w:jc w:val="left"/>
            </w:pPr>
            <w:r>
              <w:t xml:space="preserve">Entry, invalid country</w:t>
            </w:r>
          </w:p>
        </w:tc>
        <w:tc>
          <w:tcPr/>
          <w:p>
            <w:pPr>
              <w:pStyle w:val="Compact"/>
              <w:jc w:val="left"/>
            </w:pPr>
            <w:r>
              <w:rPr>
                <w:rStyle w:val="VerbatimChar"/>
              </w:rPr>
              <w:t xml:space="preserve">edu_country</w:t>
            </w:r>
            <w:r>
              <w:t xml:space="preserve"> </w:t>
            </w:r>
            <w:r>
              <w:t xml:space="preserve">ZZ or IND returns 400</w:t>
            </w:r>
            <w:r>
              <w:t xml:space="preserve"> </w:t>
            </w:r>
            <w:r>
              <w:rPr>
                <w:rStyle w:val="VerbatimChar"/>
              </w:rPr>
              <w:t xml:space="preserve">INVALID_INPUT</w:t>
            </w:r>
          </w:p>
        </w:tc>
      </w:tr>
    </w:tbl>
    <w:bookmarkEnd w:id="42"/>
    <w:bookmarkStart w:id="43" w:name="changes-to-this-guide"/>
    <w:p>
      <w:pPr>
        <w:pStyle w:val="Heading1"/>
      </w:pPr>
      <w:r>
        <w:t xml:space="preserve">13. Changes to this guide</w:t>
      </w:r>
    </w:p>
    <w:p>
      <w:pPr>
        <w:pStyle w:val="FirstParagraph"/>
      </w:pPr>
      <w:r>
        <w:t xml:space="preserve">Changes within Website API v2 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(issue 2)</w:t>
            </w:r>
          </w:p>
        </w:tc>
        <w:tc>
          <w:tcPr/>
          <w:p>
            <w:pPr>
              <w:pStyle w:val="Compact"/>
              <w:jc w:val="left"/>
            </w:pPr>
            <w:r>
              <w:rPr>
                <w:rStyle w:val="VerbatimChar"/>
              </w:rPr>
              <w:t xml:space="preserve">sync</w:t>
            </w:r>
            <w:r>
              <w:t xml:space="preserve"> </w:t>
            </w:r>
            <w:r>
              <w:t xml:space="preserve">pages hold up to 200 items (was 50; default 200), and a page also stops at about 550 KB. A full load is about 250 calls, about 5 minutes (was about 1,400 calls, about 25 minutes). Sections 6.1 and 6.2 added: what to expect from a full load, and what we expect from your sync job</w:t>
            </w:r>
          </w:p>
        </w:tc>
      </w:tr>
      <w:tr>
        <w:tc>
          <w:tcPr/>
          <w:p>
            <w:pPr>
              <w:pStyle w:val="Compact"/>
              <w:jc w:val="left"/>
            </w:pPr>
            <w:r>
              <w:t xml:space="preserve">16 October 2026 (issue 3)</w:t>
            </w:r>
          </w:p>
        </w:tc>
        <w:tc>
          <w:tcPr/>
          <w:p>
            <w:pPr>
              <w:pStyle w:val="Compact"/>
              <w:jc w:val="left"/>
            </w:pPr>
            <w:r>
              <w:t xml:space="preserve">Website API v2 at its own address,</w:t>
            </w:r>
            <w:r>
              <w:t xml:space="preserve"> </w:t>
            </w:r>
            <w:r>
              <w:rPr>
                <w:rStyle w:val="VerbatimChar"/>
              </w:rPr>
              <w:t xml:space="preserve">website-api-v2</w:t>
            </w:r>
            <w:r>
              <w:t xml:space="preserve">, with its own key: no</w:t>
            </w:r>
            <w:r>
              <w:t xml:space="preserve"> </w:t>
            </w:r>
            <w:r>
              <w:rPr>
                <w:rStyle w:val="VerbatimChar"/>
              </w:rPr>
              <w:t xml:space="preserve">contract</w:t>
            </w:r>
            <w:r>
              <w:t xml:space="preserve"> </w:t>
            </w:r>
            <w:r>
              <w:t xml:space="preserve">field; responses carry</w:t>
            </w:r>
            <w:r>
              <w:t xml:space="preserve"> </w:t>
            </w:r>
            <w:r>
              <w:rPr>
                <w:rStyle w:val="VerbatimChar"/>
              </w:rPr>
              <w:t xml:space="preserve">api_version: "website-v2"</w:t>
            </w:r>
            <w:r>
              <w:t xml:space="preserve"> </w:t>
            </w:r>
            <w:r>
              <w:t xml:space="preserve">instead of</w:t>
            </w:r>
            <w:r>
              <w:t xml:space="preserve"> </w:t>
            </w:r>
            <w:r>
              <w:rPr>
                <w:rStyle w:val="VerbatimChar"/>
              </w:rPr>
              <w:t xml:space="preserve">contract_version</w:t>
            </w:r>
            <w:r>
              <w:t xml:space="preserve">; errors add</w:t>
            </w:r>
            <w:r>
              <w:t xml:space="preserve"> </w:t>
            </w:r>
            <w:r>
              <w:rPr>
                <w:rStyle w:val="VerbatimChar"/>
              </w:rPr>
              <w:t xml:space="preserve">message</w:t>
            </w:r>
            <w:r>
              <w:t xml:space="preserve"> </w:t>
            </w:r>
            <w:r>
              <w:t xml:space="preserve">and</w:t>
            </w:r>
            <w:r>
              <w:t xml:space="preserve"> </w:t>
            </w:r>
            <w:r>
              <w:rPr>
                <w:rStyle w:val="VerbatimChar"/>
              </w:rPr>
              <w:t xml:space="preserve">detail</w:t>
            </w:r>
            <w:r>
              <w:t xml:space="preserve"> </w:t>
            </w:r>
            <w:r>
              <w:t xml:space="preserve">(and</w:t>
            </w:r>
            <w:r>
              <w:t xml:space="preserve"> </w:t>
            </w:r>
            <w:r>
              <w:rPr>
                <w:rStyle w:val="VerbatimChar"/>
              </w:rPr>
              <w:t xml:space="preserve">INVALID_JSON</w:t>
            </w:r>
            <w:r>
              <w:t xml:space="preserve">); 300 calls a minute per key, all actions together. Same actions, fields and answers. The earlier address keeps working until you have moved</w:t>
            </w:r>
          </w:p>
        </w:tc>
      </w:tr>
      <w:tr>
        <w:tc>
          <w:tcPr/>
          <w:p>
            <w:pPr>
              <w:pStyle w:val="Compact"/>
              <w:jc w:val="left"/>
            </w:pPr>
            <w:r>
              <w:t xml:space="preserve">17 October 2026 (issue 4)</w:t>
            </w:r>
          </w:p>
        </w:tc>
        <w:tc>
          <w:tcPr/>
          <w:p>
            <w:pPr>
              <w:pStyle w:val="Compact"/>
              <w:jc w:val="left"/>
            </w:pPr>
            <w:r>
              <w:rPr>
                <w:rStyle w:val="VerbatimChar"/>
              </w:rPr>
              <w:t xml:space="preserve">sync</w:t>
            </w:r>
            <w:r>
              <w:t xml:space="preserve"> </w:t>
            </w:r>
            <w:r>
              <w:t xml:space="preserve">pages hold up to 600 size units (was 200; default 600): a full load is about 86 calls, about 1 to 2 minutes (was about 260 calls, about 5 minutes); a caller that sends a smaller</w:t>
            </w:r>
            <w:r>
              <w:t xml:space="preserve"> </w:t>
            </w:r>
            <w:r>
              <w:rPr>
                <w:rStyle w:val="VerbatimChar"/>
              </w:rPr>
              <w:t xml:space="preserve">page_size</w:t>
            </w:r>
            <w:r>
              <w:t xml:space="preserve"> </w:t>
            </w:r>
            <w:r>
              <w:t xml:space="preserve">keeps getting smaller pages. Replies are compressed when you send</w:t>
            </w:r>
            <w:r>
              <w:t xml:space="preserve"> </w:t>
            </w:r>
            <w:r>
              <w:rPr>
                <w:rStyle w:val="VerbatimChar"/>
              </w:rPr>
              <w:t xml:space="preserve">Accept-Encoding: gzip</w:t>
            </w:r>
            <w:r>
              <w:t xml:space="preserve"> </w:t>
            </w:r>
            <w:r>
              <w:t xml:space="preserve">(about 15 MB for a full load instead of about 113 MB). New English test code</w:t>
            </w:r>
            <w:r>
              <w:t xml:space="preserve"> </w:t>
            </w:r>
            <w:r>
              <w:rPr>
                <w:rStyle w:val="VerbatimChar"/>
              </w:rPr>
              <w:t xml:space="preserve">DET</w:t>
            </w:r>
            <w:r>
              <w:t xml:space="preserve"> </w:t>
            </w:r>
            <w:r>
              <w:t xml:space="preserve">(Duolingo English Test, overall score 10–160) in</w:t>
            </w:r>
            <w:r>
              <w:t xml:space="preserve"> </w:t>
            </w:r>
            <w:r>
              <w:rPr>
                <w:rStyle w:val="VerbatimChar"/>
              </w:rPr>
              <w:t xml:space="preserve">english_requirements</w:t>
            </w:r>
            <w:r>
              <w:t xml:space="preserve">, the</w:t>
            </w:r>
            <w:r>
              <w:t xml:space="preserve"> </w:t>
            </w:r>
            <w:r>
              <w:rPr>
                <w:rStyle w:val="VerbatimChar"/>
              </w:rPr>
              <w:t xml:space="preserve">english_test_codes</w:t>
            </w:r>
            <w:r>
              <w:t xml:space="preserve"> </w:t>
            </w:r>
            <w:r>
              <w:t xml:space="preserve">filter and</w:t>
            </w:r>
            <w:r>
              <w:t xml:space="preserve"> </w:t>
            </w:r>
            <w:r>
              <w:rPr>
                <w:rStyle w:val="VerbatimChar"/>
              </w:rPr>
              <w:t xml:space="preserve">reference</w:t>
            </w:r>
          </w:p>
        </w:tc>
      </w:tr>
      <w:tr>
        <w:tc>
          <w:tcPr/>
          <w:p>
            <w:pPr>
              <w:pStyle w:val="Compact"/>
              <w:jc w:val="left"/>
            </w:pPr>
            <w:r>
              <w:t xml:space="preserve">29 October 2026 (issue 5)</w:t>
            </w:r>
          </w:p>
        </w:tc>
        <w:tc>
          <w:tcPr/>
          <w:p>
            <w:pPr>
              <w:pStyle w:val="Compact"/>
              <w:jc w:val="left"/>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rPr>
              <w:t xml:space="preserve">edu_country</w:t>
            </w:r>
            <w:r>
              <w:t xml:space="preserve"> </w:t>
            </w:r>
            <w:r>
              <w:t xml:space="preserve">(the student’s country of prior education). The course detail gains</w:t>
            </w:r>
            <w:r>
              <w:t xml:space="preserve"> </w:t>
            </w:r>
            <w:r>
              <w:rPr>
                <w:rStyle w:val="VerbatimChar"/>
              </w:rPr>
              <w:t xml:space="preserve">entry</w:t>
            </w:r>
            <w:r>
              <w:t xml:space="preserve"> </w:t>
            </w:r>
            <w:r>
              <w:t xml:space="preserve">(the course’s academic entry requirements and, with</w:t>
            </w:r>
            <w:r>
              <w:t xml:space="preserve"> </w:t>
            </w:r>
            <w:r>
              <w:rPr>
                <w:rStyle w:val="VerbatimChar"/>
              </w:rPr>
              <w:t xml:space="preserve">edu_country</w:t>
            </w:r>
            <w:r>
              <w:t xml:space="preserve">, the requirement that applies, worked out in a fixed order with</w:t>
            </w:r>
            <w:r>
              <w:t xml:space="preserve"> </w:t>
            </w:r>
            <w:r>
              <w:t xml:space="preserve">“</w:t>
            </w:r>
            <w:r>
              <w:t xml:space="preserve">case by case</w:t>
            </w:r>
            <w:r>
              <w:t xml:space="preserve">”</w:t>
            </w:r>
            <w:r>
              <w:t xml:space="preserve"> </w:t>
            </w:r>
            <w:r>
              <w:t xml:space="preserve">and</w:t>
            </w:r>
            <w:r>
              <w:t xml:space="preserve"> </w:t>
            </w:r>
            <w:r>
              <w:t xml:space="preserve">“</w:t>
            </w:r>
            <w:r>
              <w:t xml:space="preserve">contact the provider</w:t>
            </w:r>
            <w:r>
              <w:t xml:space="preserve">”</w:t>
            </w:r>
            <w:r>
              <w:t xml:space="preserve"> </w:t>
            </w:r>
            <w:r>
              <w:t xml:space="preserve">outcomes); the provider detail gains</w:t>
            </w:r>
            <w:r>
              <w:t xml:space="preserve"> </w:t>
            </w:r>
            <w:r>
              <w:rPr>
                <w:rStyle w:val="VerbatimChar"/>
              </w:rPr>
              <w:t xml:space="preserve">entry_matrix[]</w:t>
            </w:r>
            <w:r>
              <w:t xml:space="preserve"> </w:t>
            </w:r>
            <w:r>
              <w:t xml:space="preserve">(the provider’s published requirements by country). Section 7.9 added; acceptance tests 20 to 22 added</w:t>
            </w:r>
          </w:p>
        </w:tc>
      </w:tr>
    </w:tbl>
    <w:bookmarkEnd w:id="43"/>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website-api-v2 · Version 2 · Issue 5 · 29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v2 — Developer Guide</dc:title>
  <dc:creator/>
  <cp:keywords/>
  <dcterms:created xsi:type="dcterms:W3CDTF">2026-10-29T06:14:06Z</dcterms:created>
  <dcterms:modified xsi:type="dcterms:W3CDTF">2026-10-29T06:14:06Z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website-api-v2 · Version 2 · Issue 5 · 29 October 2026 · Pilot</vt:lpwstr>
  </property>
</Properties>
</file>