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w:t>
      </w:r>
      <w:r>
        <w:t xml:space="preserve"> </w:t>
      </w:r>
      <w:r>
        <w:t xml:space="preserve">Developer</w:t>
      </w:r>
      <w:r>
        <w:t xml:space="preserve"> </w:t>
      </w:r>
      <w:r>
        <w:t xml:space="preserve">Guide</w:t>
      </w:r>
    </w:p>
    <w:p>
      <w:pPr>
        <w:pStyle w:val="Subtitle"/>
      </w:pPr>
      <w:r>
        <w:t xml:space="preserve">Contract</w:t>
      </w:r>
      <w:r>
        <w:t xml:space="preserve"> </w:t>
      </w:r>
      <w:r>
        <w:t xml:space="preserve">website-search-v2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15</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endpoint, contract</w:t>
            </w:r>
            <w:r>
              <w:t xml:space="preserve"> </w:t>
            </w:r>
            <w:r>
              <w:rPr>
                <w:rStyle w:val="VerbatimChar"/>
              </w:rPr>
              <w:t xml:space="preserve">website-search-v2</w:t>
            </w:r>
            <w:r>
              <w:t xml:space="preserve">,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StudySearch-Website-API.openapi.json</w:t>
            </w:r>
            <w:r>
              <w:t xml:space="preserve"> </w:t>
            </w:r>
            <w:r>
              <w:t xml:space="preserve">(OpenAPI 3.1) and</w:t>
            </w:r>
            <w:r>
              <w:t xml:space="preserve"> </w:t>
            </w:r>
            <w:r>
              <w:rPr>
                <w:rStyle w:val="VerbatimChar"/>
              </w:rPr>
              <w:t xml:space="preserve">StudySearch-Website-API.postman_collection.json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this contract. Ignore fields you do not use. A breaking change would come as a new contract with its own guide.</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https://fxcwkweaxjtknorudmwp.supabase.co/functions/v1/wix-course-api</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w:t>
      </w:r>
      <w:r>
        <w:t xml:space="preserve"> </w:t>
      </w:r>
      <w:r>
        <w:rPr>
          <w:rStyle w:val="VerbatimChar"/>
        </w:rPr>
        <w:t xml:space="preserve">"contract": "website-search-v2"</w:t>
      </w:r>
      <w:r>
        <w:t xml:space="preserve"> </w:t>
      </w:r>
      <w:r>
        <w:t xml:space="preserve">and an</w:t>
      </w:r>
      <w:r>
        <w:t xml:space="preserve"> </w:t>
      </w:r>
      <w:r>
        <w:rPr>
          <w:rStyle w:val="VerbatimChar"/>
        </w:rPr>
        <w:t xml:space="preserve">action</w:t>
      </w:r>
      <w:r>
        <w:t xml:space="preserve">.</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60 requests a minute per action</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contract only. If a key is exposed, tell us: we disable it and issue a new one (a key cannot be recovered, only replaced).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 For the list actions</w:t>
      </w:r>
      <w:r>
        <w:t xml:space="preserve"> </w:t>
      </w:r>
      <w:r>
        <w:rPr>
          <w:rStyle w:val="VerbatimChar"/>
        </w:rPr>
        <w:t xml:space="preserve">page_size</w:t>
      </w:r>
      <w:r>
        <w:t xml:space="preserve"> </w:t>
      </w:r>
      <w:r>
        <w:t xml:space="preserve">is 1–50 (default 20);</w:t>
      </w:r>
      <w:r>
        <w:t xml:space="preserve"> </w:t>
      </w:r>
      <w:r>
        <w:rPr>
          <w:rStyle w:val="VerbatimChar"/>
        </w:rPr>
        <w:t xml:space="preserve">sync</w:t>
      </w:r>
      <w:r>
        <w:t xml:space="preserve"> </w:t>
      </w:r>
      <w:r>
        <w:t xml:space="preserve">pages are covered in section 6.</w:t>
      </w:r>
    </w:p>
    <w:p>
      <w:pPr>
        <w:numPr>
          <w:ilvl w:val="0"/>
          <w:numId w:val="1004"/>
        </w:numPr>
        <w:pStyle w:val="Compact"/>
      </w:pPr>
      <w:r>
        <w:t xml:space="preserve">Every response carries</w:t>
      </w:r>
      <w:r>
        <w:t xml:space="preserve"> </w:t>
      </w:r>
      <w:r>
        <w:rPr>
          <w:rStyle w:val="VerbatimChar"/>
        </w:rPr>
        <w:t xml:space="preserve">contract_version: "website-search-v2"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in the contract</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60 a minute for that action;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7"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1–200 (default 200). A page also stops at about 550 KB, so large items (provider details, scholarships) come fewer to a page</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Start w:id="25" w:name="full-load-what-to-expect"/>
    <w:p>
      <w:pPr>
        <w:pStyle w:val="Heading2"/>
      </w:pPr>
      <w:r>
        <w:t xml:space="preserve">6.1 Full load: what to expect</w:t>
      </w:r>
    </w:p>
    <w:p>
      <w:pPr>
        <w:pStyle w:val="FirstParagraph"/>
      </w:pPr>
      <w:r>
        <w:t xml:space="preserve">Measured on Pilot on 15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Measure</w:t>
            </w:r>
          </w:p>
        </w:tc>
        <w:tc>
          <w:tcPr>
            <w:shd w:val="clear" w:color="auto" w:fill="1F3864"/>
          </w:tcPr>
          <w:p>
            <w:pPr>
              <w:pStyle w:val="Compact"/>
              <w:jc w:val="left"/>
            </w:pPr>
            <w:r>
              <w:rPr>
                <w:b/>
                <w:color w:val="FFFFFF"/>
              </w:rPr>
              <w:t xml:space="preserve">Full load</w:t>
            </w:r>
          </w:p>
        </w:tc>
      </w:tr>
      <w:tr>
        <w:tc>
          <w:tcPr/>
          <w:p>
            <w:pPr>
              <w:pStyle w:val="Compact"/>
              <w:jc w:val="left"/>
            </w:pPr>
            <w:r>
              <w:t xml:space="preserve">Items</w:t>
            </w:r>
          </w:p>
        </w:tc>
        <w:tc>
          <w:tcPr/>
          <w:p>
            <w:pPr>
              <w:pStyle w:val="Compact"/>
              <w:jc w:val="left"/>
            </w:pPr>
            <w:r>
              <w:t xml:space="preserve">About 40,600 (courses 37,300; providers 1,885; scholarships 1,100; logos 275; ranking sets 56; reference 1)</w:t>
            </w:r>
          </w:p>
        </w:tc>
      </w:tr>
      <w:tr>
        <w:tc>
          <w:tcPr/>
          <w:p>
            <w:pPr>
              <w:pStyle w:val="Compact"/>
              <w:jc w:val="left"/>
            </w:pPr>
            <w:r>
              <w:t xml:space="preserve">Calls</w:t>
            </w:r>
          </w:p>
        </w:tc>
        <w:tc>
          <w:tcPr/>
          <w:p>
            <w:pPr>
              <w:pStyle w:val="Compact"/>
              <w:jc w:val="left"/>
            </w:pPr>
            <w:r>
              <w:t xml:space="preserve">About 250 at the default page size</w:t>
            </w:r>
          </w:p>
        </w:tc>
      </w:tr>
      <w:tr>
        <w:tc>
          <w:tcPr/>
          <w:p>
            <w:pPr>
              <w:pStyle w:val="Compact"/>
              <w:jc w:val="left"/>
            </w:pPr>
            <w:r>
              <w:t xml:space="preserve">Data</w:t>
            </w:r>
          </w:p>
        </w:tc>
        <w:tc>
          <w:tcPr/>
          <w:p>
            <w:pPr>
              <w:pStyle w:val="Compact"/>
              <w:jc w:val="left"/>
            </w:pPr>
            <w:r>
              <w:t xml:space="preserve">About 100 MB of JSON in total; the largest page about 550 KB</w:t>
            </w:r>
          </w:p>
        </w:tc>
      </w:tr>
      <w:tr>
        <w:tc>
          <w:tcPr/>
          <w:p>
            <w:pPr>
              <w:pStyle w:val="Compact"/>
              <w:jc w:val="left"/>
            </w:pPr>
            <w:r>
              <w:t xml:space="preserve">Reply time</w:t>
            </w:r>
          </w:p>
        </w:tc>
        <w:tc>
          <w:tcPr/>
          <w:p>
            <w:pPr>
              <w:pStyle w:val="Compact"/>
              <w:jc w:val="left"/>
            </w:pPr>
            <w:r>
              <w:t xml:space="preserve">Under a second a page</w:t>
            </w:r>
          </w:p>
        </w:tc>
      </w:tr>
      <w:tr>
        <w:tc>
          <w:tcPr/>
          <w:p>
            <w:pPr>
              <w:pStyle w:val="Compact"/>
              <w:jc w:val="left"/>
            </w:pPr>
            <w:r>
              <w:t xml:space="preserve">Elapsed time</w:t>
            </w:r>
          </w:p>
        </w:tc>
        <w:tc>
          <w:tcPr/>
          <w:p>
            <w:pPr>
              <w:pStyle w:val="Compact"/>
              <w:jc w:val="left"/>
            </w:pPr>
            <w:r>
              <w:t xml:space="preserve">About 5 minutes, paced at the limit of 60 calls a minute</w:t>
            </w:r>
          </w:p>
        </w:tc>
      </w:tr>
      <w:tr>
        <w:tc>
          <w:tcPr/>
          <w:p>
            <w:pPr>
              <w:pStyle w:val="Compact"/>
              <w:jc w:val="left"/>
            </w:pPr>
            <w:r>
              <w:t xml:space="preserve">After the full load</w:t>
            </w:r>
          </w:p>
        </w:tc>
        <w:tc>
          <w:tcPr/>
          <w:p>
            <w:pPr>
              <w:pStyle w:val="Compact"/>
              <w:jc w:val="left"/>
            </w:pPr>
            <w:r>
              <w:t xml:space="preserve">A delta is usually one call; the platform checks every item for changes within about 90 minutes, and a change appears in the next delta after that</w:t>
            </w:r>
          </w:p>
        </w:tc>
      </w:tr>
    </w:tbl>
    <w:bookmarkEnd w:id="25"/>
    <w:bookmarkStart w:id="26" w:name="what-we-expect-from-your-sync-job"/>
    <w:p>
      <w:pPr>
        <w:pStyle w:val="Heading2"/>
      </w:pPr>
      <w:r>
        <w:t xml:space="preserve">6.2 What we expect from your sync job</w:t>
      </w:r>
    </w:p>
    <w:p>
      <w:pPr>
        <w:numPr>
          <w:ilvl w:val="0"/>
          <w:numId w:val="1008"/>
        </w:numPr>
        <w:pStyle w:val="Compact"/>
      </w:pPr>
      <w:r>
        <w:rPr>
          <w:bCs/>
          <w:b/>
        </w:rPr>
        <w:t xml:space="preserve">Run it as a scheduled backend job that can resume.</w:t>
      </w:r>
      <w:r>
        <w:t xml:space="preserve"> </w:t>
      </w:r>
      <w:r>
        <w:t xml:space="preserve">Save</w:t>
      </w:r>
      <w:r>
        <w:t xml:space="preserve"> </w:t>
      </w:r>
      <w:r>
        <w:rPr>
          <w:rStyle w:val="VerbatimChar"/>
        </w:rPr>
        <w:t xml:space="preserve">next_cursor</w:t>
      </w:r>
      <w:r>
        <w:t xml:space="preserve"> </w:t>
      </w:r>
      <w:r>
        <w:t xml:space="preserve">after each page is written. If the job stops (for example at a Wix time limit), the next run carries on from the saved cursor.</w:t>
      </w:r>
    </w:p>
    <w:p>
      <w:pPr>
        <w:numPr>
          <w:ilvl w:val="0"/>
          <w:numId w:val="1008"/>
        </w:numPr>
        <w:pStyle w:val="Compact"/>
      </w:pPr>
      <w:r>
        <w:rPr>
          <w:bCs/>
          <w:b/>
        </w:rPr>
        <w:t xml:space="preserve">One cursor at a time.</w:t>
      </w:r>
      <w:r>
        <w:t xml:space="preserve"> </w:t>
      </w:r>
      <w:r>
        <w:t xml:space="preserve">Each call needs the previous reply’s cursor; do not start a second full load while one is running.</w:t>
      </w:r>
    </w:p>
    <w:p>
      <w:pPr>
        <w:numPr>
          <w:ilvl w:val="0"/>
          <w:numId w:val="1008"/>
        </w:numPr>
        <w:pStyle w:val="Compact"/>
      </w:pPr>
      <w:r>
        <w:rPr>
          <w:bCs/>
          <w:b/>
        </w:rPr>
        <w:t xml:space="preserve">Stay within 60 calls a minute.</w:t>
      </w:r>
      <w:r>
        <w:t xml:space="preserve"> </w:t>
      </w:r>
      <w:r>
        <w:t xml:space="preserve">On 429, wait for</w:t>
      </w:r>
      <w:r>
        <w:t xml:space="preserve"> </w:t>
      </w:r>
      <w:r>
        <w:rPr>
          <w:rStyle w:val="VerbatimChar"/>
        </w:rPr>
        <w:t xml:space="preserve">Retry-After</w:t>
      </w:r>
      <w:r>
        <w:t xml:space="preserve"> </w:t>
      </w:r>
      <w:r>
        <w:t xml:space="preserve">and send the same cursor again.</w:t>
      </w:r>
    </w:p>
    <w:p>
      <w:pPr>
        <w:numPr>
          <w:ilvl w:val="0"/>
          <w:numId w:val="1008"/>
        </w:numPr>
        <w:pStyle w:val="Compact"/>
      </w:pPr>
      <w:r>
        <w:rPr>
          <w:bCs/>
          <w:b/>
        </w:rPr>
        <w:t xml:space="preserve">Write each page in one bulk save,</w:t>
      </w:r>
      <w:r>
        <w:t xml:space="preserve"> </w:t>
      </w:r>
      <w:r>
        <w:t xml:space="preserve">upserting by</w:t>
      </w:r>
      <w:r>
        <w:t xml:space="preserve"> </w:t>
      </w:r>
      <w:r>
        <w:rPr>
          <w:rStyle w:val="VerbatimChar"/>
        </w:rPr>
        <w:t xml:space="preserve">id</w:t>
      </w:r>
      <w:r>
        <w:t xml:space="preserve">; delete by</w:t>
      </w:r>
      <w:r>
        <w:t xml:space="preserve"> </w:t>
      </w:r>
      <w:r>
        <w:rPr>
          <w:rStyle w:val="VerbatimChar"/>
        </w:rPr>
        <w:t xml:space="preserve">id</w:t>
      </w:r>
      <w:r>
        <w:t xml:space="preserve"> </w:t>
      </w:r>
      <w:r>
        <w:t xml:space="preserve">on</w:t>
      </w:r>
      <w:r>
        <w:t xml:space="preserve"> </w:t>
      </w:r>
      <w:r>
        <w:rPr>
          <w:rStyle w:val="VerbatimChar"/>
        </w:rPr>
        <w:t xml:space="preserve">remove</w:t>
      </w:r>
      <w:r>
        <w:t xml:space="preserve">.</w:t>
      </w:r>
    </w:p>
    <w:p>
      <w:pPr>
        <w:numPr>
          <w:ilvl w:val="0"/>
          <w:numId w:val="1008"/>
        </w:numPr>
        <w:pStyle w:val="Compact"/>
      </w:pPr>
      <w:r>
        <w:rPr>
          <w:bCs/>
          <w:b/>
        </w:rPr>
        <w:t xml:space="preserve">After the full load, run a delta every 5 to 15 minutes.</w:t>
      </w:r>
      <w:r>
        <w:t xml:space="preserve"> </w:t>
      </w:r>
      <w:r>
        <w:t xml:space="preserve">Run a full load again only to rebuild your collections.</w:t>
      </w:r>
    </w:p>
    <w:p>
      <w:pPr>
        <w:numPr>
          <w:ilvl w:val="0"/>
          <w:numId w:val="1008"/>
        </w:numPr>
        <w:pStyle w:val="Compact"/>
      </w:pPr>
      <w:r>
        <w:rPr>
          <w:bCs/>
          <w:b/>
        </w:rPr>
        <w:t xml:space="preserve">Copy each new or renewed logo into Wix Media</w:t>
      </w:r>
      <w:r>
        <w:t xml:space="preserve"> </w:t>
      </w:r>
      <w:r>
        <w:t xml:space="preserve">in the run that receives it.</w:t>
      </w:r>
    </w:p>
    <w:bookmarkEnd w:id="26"/>
    <w:bookmarkEnd w:id="27"/>
    <w:bookmarkStart w:id="36"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8"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8"/>
    <w:bookmarkStart w:id="29"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78 courses on 15 October 2026.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Give exactly one test code with a score</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jc w:val="left"/>
            </w:pPr>
            <w:r>
              <w:rPr>
                <w:rStyle w:val="VerbatimChar"/>
              </w:rPr>
              <w:t xml:space="preserve">subdivision_codes</w:t>
            </w:r>
            <w:r>
              <w:t xml:space="preserve"> </w:t>
            </w:r>
            <w:r>
              <w:t xml:space="preserve">are the course’s states or provinces from its campuses; a Canadian course with no campus (often online) takes its provider’s province. The</w:t>
            </w:r>
            <w:r>
              <w:t xml:space="preserve"> </w:t>
            </w:r>
            <w:r>
              <w:rPr>
                <w:rStyle w:val="VerbatimChar"/>
              </w:rPr>
              <w:t xml:space="preserve">subdivision_codes</w:t>
            </w:r>
            <w:r>
              <w:t xml:space="preserve"> </w:t>
            </w:r>
            <w:r>
              <w:t xml:space="preserve">filter uses the same values</w:t>
            </w:r>
          </w:p>
        </w:tc>
      </w:tr>
    </w:tbl>
    <w:bookmarkEnd w:id="29"/>
    <w:bookmarkStart w:id="30"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w:t>
      </w:r>
    </w:p>
    <w:bookmarkEnd w:id="30"/>
    <w:bookmarkStart w:id="31"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bl>
    <w:p>
      <w:pPr>
        <w:pStyle w:val="BodyText"/>
      </w:pPr>
      <w:r>
        <w:t xml:space="preserve">An average tuition per provider is not returned: there is no sound basis for one.</w:t>
      </w:r>
    </w:p>
    <w:bookmarkEnd w:id="31"/>
    <w:bookmarkStart w:id="32"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2"/>
    <w:bookmarkStart w:id="33"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3"/>
    <w:bookmarkStart w:id="34"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9"/>
        </w:numPr>
        <w:pStyle w:val="Compact"/>
      </w:pPr>
      <w:r>
        <w:t xml:space="preserve">One primary logo per provider, from the provider’s own website, as published (SVG, PNG or JPEG; not recoloured or resized).</w:t>
      </w:r>
    </w:p>
    <w:p>
      <w:pPr>
        <w:numPr>
          <w:ilvl w:val="0"/>
          <w:numId w:val="1009"/>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9"/>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9"/>
        </w:numPr>
        <w:pStyle w:val="Compact"/>
      </w:pPr>
      <w:r>
        <w:t xml:space="preserve">A dark variant and a brand colour are not held.</w:t>
      </w:r>
    </w:p>
    <w:bookmarkEnd w:id="34"/>
    <w:bookmarkStart w:id="35" w:name="tuition-rules"/>
    <w:p>
      <w:pPr>
        <w:pStyle w:val="Heading2"/>
      </w:pPr>
      <w:r>
        <w:t xml:space="preserve">7.8 Tuition rules</w:t>
      </w:r>
    </w:p>
    <w:p>
      <w:pPr>
        <w:numPr>
          <w:ilvl w:val="0"/>
          <w:numId w:val="1010"/>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10"/>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10"/>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10"/>
        </w:numPr>
        <w:pStyle w:val="Compact"/>
      </w:pPr>
      <w:r>
        <w:t xml:space="preserve">A whole-course total is never presented as per year. An amount under 1,000 is treated as not held (provider pages use $0 or $1 as placeholders).</w:t>
      </w:r>
    </w:p>
    <w:p>
      <w:pPr>
        <w:numPr>
          <w:ilvl w:val="0"/>
          <w:numId w:val="1010"/>
        </w:numPr>
        <w:pStyle w:val="Compact"/>
      </w:pPr>
      <w:r>
        <w:t xml:space="preserve">Currency is the course’s own (AUD, NZD or CAD). There is no conversion: filter by country before filtering by tuition.</w:t>
      </w:r>
    </w:p>
    <w:bookmarkEnd w:id="35"/>
    <w:bookmarkEnd w:id="36"/>
    <w:bookmarkStart w:id="37" w:name="what-is-held-now"/>
    <w:p>
      <w:pPr>
        <w:pStyle w:val="Heading1"/>
      </w:pPr>
      <w:r>
        <w:t xml:space="preserve">8. What is held now</w:t>
      </w:r>
    </w:p>
    <w:p>
      <w:pPr>
        <w:pStyle w:val="FirstParagraph"/>
      </w:pPr>
      <w:r>
        <w:t xml:space="preserve">Courses or records the API returns holding a value (15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(26,103)</w:t>
            </w:r>
          </w:p>
        </w:tc>
        <w:tc>
          <w:tcPr>
            <w:shd w:val="clear" w:color="auto" w:fill="1F3864"/>
          </w:tcPr>
          <w:p>
            <w:pPr>
              <w:pStyle w:val="Compact"/>
              <w:jc w:val="left"/>
            </w:pPr>
            <w:r>
              <w:rPr>
                <w:b/>
                <w:color w:val="FFFFFF"/>
              </w:rPr>
              <w:t xml:space="preserve">New Zealand (6,474)</w:t>
            </w:r>
          </w:p>
        </w:tc>
        <w:tc>
          <w:tcPr>
            <w:shd w:val="clear" w:color="auto" w:fill="1F3864"/>
          </w:tcPr>
          <w:p>
            <w:pPr>
              <w:pStyle w:val="Compact"/>
              <w:jc w:val="left"/>
            </w:pPr>
            <w:r>
              <w:rPr>
                <w:b/>
                <w:color w:val="FFFFFF"/>
              </w:rPr>
              <w:t xml:space="preserve">Canada (4,723)</w:t>
            </w:r>
          </w:p>
        </w:tc>
      </w:tr>
      <w:tr>
        <w:tc>
          <w:tcPr/>
          <w:p>
            <w:pPr>
              <w:pStyle w:val="Compact"/>
              <w:jc w:val="left"/>
            </w:pPr>
            <w:r>
              <w:t xml:space="preserve">Official course page</w:t>
            </w:r>
          </w:p>
        </w:tc>
        <w:tc>
          <w:tcPr/>
          <w:p>
            <w:pPr>
              <w:pStyle w:val="Compact"/>
              <w:jc w:val="left"/>
            </w:pPr>
            <w:r>
              <w:t xml:space="preserve">18,385</w:t>
            </w:r>
          </w:p>
        </w:tc>
        <w:tc>
          <w:tcPr/>
          <w:p>
            <w:pPr>
              <w:pStyle w:val="Compact"/>
              <w:jc w:val="left"/>
            </w:pPr>
            <w:r>
              <w:t xml:space="preserve">3,000</w:t>
            </w:r>
          </w:p>
        </w:tc>
        <w:tc>
          <w:tcPr/>
          <w:p>
            <w:pPr>
              <w:pStyle w:val="Compact"/>
              <w:jc w:val="left"/>
            </w:pPr>
            <w:r>
              <w:t xml:space="preserve">2,678</w:t>
            </w:r>
          </w:p>
        </w:tc>
      </w:tr>
      <w:tr>
        <w:tc>
          <w:tcPr/>
          <w:p>
            <w:pPr>
              <w:pStyle w:val="Compact"/>
              <w:jc w:val="left"/>
            </w:pPr>
            <w:r>
              <w:t xml:space="preserve">English requirements</w:t>
            </w:r>
          </w:p>
        </w:tc>
        <w:tc>
          <w:tcPr/>
          <w:p>
            <w:pPr>
              <w:pStyle w:val="Compact"/>
              <w:jc w:val="left"/>
            </w:pPr>
            <w:r>
              <w:t xml:space="preserve">15,901</w:t>
            </w:r>
          </w:p>
        </w:tc>
        <w:tc>
          <w:tcPr/>
          <w:p>
            <w:pPr>
              <w:pStyle w:val="Compact"/>
              <w:jc w:val="left"/>
            </w:pPr>
            <w:r>
              <w:t xml:space="preserve">1,927</w:t>
            </w:r>
          </w:p>
        </w:tc>
        <w:tc>
          <w:tcPr/>
          <w:p>
            <w:pPr>
              <w:pStyle w:val="Compact"/>
              <w:jc w:val="left"/>
            </w:pPr>
            <w:r>
              <w:t xml:space="preserve">1,688</w:t>
            </w:r>
          </w:p>
        </w:tc>
      </w:tr>
      <w:tr>
        <w:tc>
          <w:tcPr/>
          <w:p>
            <w:pPr>
              <w:pStyle w:val="Compact"/>
              <w:jc w:val="left"/>
            </w:pPr>
            <w:r>
              <w:t xml:space="preserve">Intake months</w:t>
            </w:r>
          </w:p>
        </w:tc>
        <w:tc>
          <w:tcPr/>
          <w:p>
            <w:pPr>
              <w:pStyle w:val="Compact"/>
              <w:jc w:val="left"/>
            </w:pPr>
            <w:r>
              <w:t xml:space="preserve">9,269</w:t>
            </w:r>
          </w:p>
        </w:tc>
        <w:tc>
          <w:tcPr/>
          <w:p>
            <w:pPr>
              <w:pStyle w:val="Compact"/>
              <w:jc w:val="left"/>
            </w:pPr>
            <w:r>
              <w:t xml:space="preserve">1,967</w:t>
            </w:r>
          </w:p>
        </w:tc>
        <w:tc>
          <w:tcPr/>
          <w:p>
            <w:pPr>
              <w:pStyle w:val="Compact"/>
              <w:jc w:val="left"/>
            </w:pPr>
            <w:r>
              <w:t xml:space="preserve">848</w:t>
            </w:r>
          </w:p>
        </w:tc>
      </w:tr>
      <w:tr>
        <w:tc>
          <w:tcPr/>
          <w:p>
            <w:pPr>
              <w:pStyle w:val="Compact"/>
              <w:jc w:val="left"/>
            </w:pPr>
            <w:r>
              <w:t xml:space="preserve">Any tuition</w:t>
            </w:r>
          </w:p>
        </w:tc>
        <w:tc>
          <w:tcPr/>
          <w:p>
            <w:pPr>
              <w:pStyle w:val="Compact"/>
              <w:jc w:val="left"/>
            </w:pPr>
            <w:r>
              <w:t xml:space="preserve">25,922</w:t>
            </w:r>
          </w:p>
        </w:tc>
        <w:tc>
          <w:tcPr/>
          <w:p>
            <w:pPr>
              <w:pStyle w:val="Compact"/>
              <w:jc w:val="left"/>
            </w:pPr>
            <w:r>
              <w:t xml:space="preserve">966</w:t>
            </w:r>
          </w:p>
        </w:tc>
        <w:tc>
          <w:tcPr/>
          <w:p>
            <w:pPr>
              <w:pStyle w:val="Compact"/>
              <w:jc w:val="left"/>
            </w:pPr>
            <w:r>
              <w:t xml:space="preserve">326</w:t>
            </w:r>
          </w:p>
        </w:tc>
      </w:tr>
      <w:tr>
        <w:tc>
          <w:tcPr/>
          <w:p>
            <w:pPr>
              <w:pStyle w:val="Compact"/>
              <w:jc w:val="left"/>
            </w:pPr>
            <w:r>
              <w:t xml:space="preserve">Study area</w:t>
            </w:r>
          </w:p>
        </w:tc>
        <w:tc>
          <w:tcPr/>
          <w:p>
            <w:pPr>
              <w:pStyle w:val="Compact"/>
              <w:jc w:val="left"/>
            </w:pPr>
            <w:r>
              <w:t xml:space="preserve">26,103</w:t>
            </w:r>
          </w:p>
        </w:tc>
        <w:tc>
          <w:tcPr/>
          <w:p>
            <w:pPr>
              <w:pStyle w:val="Compact"/>
              <w:jc w:val="left"/>
            </w:pPr>
            <w:r>
              <w:t xml:space="preserve">6,053</w:t>
            </w:r>
          </w:p>
        </w:tc>
        <w:tc>
          <w:tcPr/>
          <w:p>
            <w:pPr>
              <w:pStyle w:val="Compact"/>
              <w:jc w:val="left"/>
            </w:pPr>
            <w:r>
              <w:t xml:space="preserve">4,601</w:t>
            </w:r>
          </w:p>
        </w:tc>
      </w:tr>
      <w:tr>
        <w:tc>
          <w:tcPr/>
          <w:p>
            <w:pPr>
              <w:pStyle w:val="Compact"/>
              <w:jc w:val="left"/>
            </w:pPr>
            <w:r>
              <w:t xml:space="preserve">Study level</w:t>
            </w:r>
          </w:p>
        </w:tc>
        <w:tc>
          <w:tcPr/>
          <w:p>
            <w:pPr>
              <w:pStyle w:val="Compact"/>
              <w:jc w:val="left"/>
            </w:pPr>
            <w:r>
              <w:t xml:space="preserve">26,103</w:t>
            </w:r>
          </w:p>
        </w:tc>
        <w:tc>
          <w:tcPr/>
          <w:p>
            <w:pPr>
              <w:pStyle w:val="Compact"/>
              <w:jc w:val="left"/>
            </w:pPr>
            <w:r>
              <w:t xml:space="preserve">6,233</w:t>
            </w:r>
          </w:p>
        </w:tc>
        <w:tc>
          <w:tcPr/>
          <w:p>
            <w:pPr>
              <w:pStyle w:val="Compact"/>
              <w:jc w:val="left"/>
            </w:pPr>
            <w:r>
              <w:t xml:space="preserve">2,671</w:t>
            </w:r>
          </w:p>
        </w:tc>
      </w:tr>
      <w:tr>
        <w:tc>
          <w:tcPr/>
          <w:p>
            <w:pPr>
              <w:pStyle w:val="Compact"/>
              <w:jc w:val="left"/>
            </w:pPr>
            <w:r>
              <w:t xml:space="preserve">Duration (months)</w:t>
            </w:r>
          </w:p>
        </w:tc>
        <w:tc>
          <w:tcPr/>
          <w:p>
            <w:pPr>
              <w:pStyle w:val="Compact"/>
              <w:jc w:val="left"/>
            </w:pPr>
            <w:r>
              <w:t xml:space="preserve">26,103</w:t>
            </w:r>
          </w:p>
        </w:tc>
        <w:tc>
          <w:tcPr/>
          <w:p>
            <w:pPr>
              <w:pStyle w:val="Compact"/>
              <w:jc w:val="left"/>
            </w:pPr>
            <w:r>
              <w:t xml:space="preserve">3,073</w:t>
            </w:r>
          </w:p>
        </w:tc>
        <w:tc>
          <w:tcPr/>
          <w:p>
            <w:pPr>
              <w:pStyle w:val="Compact"/>
              <w:jc w:val="left"/>
            </w:pPr>
            <w:r>
              <w:t xml:space="preserve">1,469</w:t>
            </w:r>
          </w:p>
        </w:tc>
      </w:tr>
      <w:tr>
        <w:tc>
          <w:tcPr/>
          <w:p>
            <w:pPr>
              <w:pStyle w:val="Compact"/>
              <w:jc w:val="left"/>
            </w:pPr>
            <w:r>
              <w:t xml:space="preserve">Delivery mode</w:t>
            </w:r>
          </w:p>
        </w:tc>
        <w:tc>
          <w:tcPr/>
          <w:p>
            <w:pPr>
              <w:pStyle w:val="Compact"/>
              <w:jc w:val="left"/>
            </w:pPr>
            <w:r>
              <w:t xml:space="preserve">26,087</w:t>
            </w:r>
          </w:p>
        </w:tc>
        <w:tc>
          <w:tcPr/>
          <w:p>
            <w:pPr>
              <w:pStyle w:val="Compact"/>
              <w:jc w:val="left"/>
            </w:pPr>
            <w:r>
              <w:t xml:space="preserve">3,870</w:t>
            </w:r>
          </w:p>
        </w:tc>
        <w:tc>
          <w:tcPr/>
          <w:p>
            <w:pPr>
              <w:pStyle w:val="Compact"/>
              <w:jc w:val="left"/>
            </w:pPr>
            <w:r>
              <w:t xml:space="preserve">3,204</w:t>
            </w:r>
          </w:p>
        </w:tc>
      </w:tr>
      <w:tr>
        <w:tc>
          <w:tcPr/>
          <w:p>
            <w:pPr>
              <w:pStyle w:val="Compact"/>
              <w:jc w:val="left"/>
            </w:pPr>
            <w:r>
              <w:t xml:space="preserve">At least one campus</w:t>
            </w:r>
          </w:p>
        </w:tc>
        <w:tc>
          <w:tcPr/>
          <w:p>
            <w:pPr>
              <w:pStyle w:val="Compact"/>
              <w:jc w:val="left"/>
            </w:pPr>
            <w:r>
              <w:t xml:space="preserve">26,069</w:t>
            </w:r>
          </w:p>
        </w:tc>
        <w:tc>
          <w:tcPr/>
          <w:p>
            <w:pPr>
              <w:pStyle w:val="Compact"/>
              <w:jc w:val="left"/>
            </w:pPr>
            <w:r>
              <w:t xml:space="preserve">2,603</w:t>
            </w:r>
          </w:p>
        </w:tc>
        <w:tc>
          <w:tcPr/>
          <w:p>
            <w:pPr>
              <w:pStyle w:val="Compact"/>
              <w:jc w:val="left"/>
            </w:pPr>
            <w:r>
              <w:t xml:space="preserve">2,332</w:t>
            </w:r>
          </w:p>
        </w:tc>
      </w:tr>
      <w:tr>
        <w:tc>
          <w:tcPr/>
          <w:p>
            <w:pPr>
              <w:pStyle w:val="Compact"/>
              <w:jc w:val="left"/>
            </w:pPr>
            <w:r>
              <w:t xml:space="preserve">At least one linked scholarship</w:t>
            </w:r>
          </w:p>
        </w:tc>
        <w:tc>
          <w:tcPr/>
          <w:p>
            <w:pPr>
              <w:pStyle w:val="Compact"/>
              <w:jc w:val="left"/>
            </w:pPr>
            <w:r>
              <w:t xml:space="preserve">9,397</w:t>
            </w:r>
          </w:p>
        </w:tc>
        <w:tc>
          <w:tcPr/>
          <w:p>
            <w:pPr>
              <w:pStyle w:val="Compact"/>
              <w:jc w:val="left"/>
            </w:pPr>
            <w:r>
              <w:t xml:space="preserve">1,060</w:t>
            </w:r>
          </w:p>
        </w:tc>
        <w:tc>
          <w:tcPr/>
          <w:p>
            <w:pPr>
              <w:pStyle w:val="Compact"/>
              <w:jc w:val="left"/>
            </w:pPr>
            <w:r>
              <w:t xml:space="preserve">846</w:t>
            </w:r>
          </w:p>
        </w:tc>
      </w:tr>
      <w:tr>
        <w:tc>
          <w:tcPr/>
          <w:p>
            <w:pPr>
              <w:pStyle w:val="Compact"/>
              <w:jc w:val="left"/>
            </w:pPr>
            <w:r>
              <w:t xml:space="preserve">Providers with courses</w:t>
            </w:r>
          </w:p>
        </w:tc>
        <w:tc>
          <w:tcPr/>
          <w:p>
            <w:pPr>
              <w:pStyle w:val="Compact"/>
              <w:jc w:val="left"/>
            </w:pPr>
            <w:r>
              <w:t xml:space="preserve">1,546</w:t>
            </w:r>
          </w:p>
        </w:tc>
        <w:tc>
          <w:tcPr/>
          <w:p>
            <w:pPr>
              <w:pStyle w:val="Compact"/>
              <w:jc w:val="left"/>
            </w:pPr>
            <w:r>
              <w:t xml:space="preserve">287</w:t>
            </w:r>
          </w:p>
        </w:tc>
        <w:tc>
          <w:tcPr/>
          <w:p>
            <w:pPr>
              <w:pStyle w:val="Compact"/>
              <w:jc w:val="left"/>
            </w:pPr>
            <w:r>
              <w:t xml:space="preserve">52</w:t>
            </w:r>
          </w:p>
        </w:tc>
      </w:tr>
    </w:tbl>
    <w:p>
      <w:pPr>
        <w:pStyle w:val="BodyText"/>
      </w:pPr>
      <w:r>
        <w:t xml:space="preserve">Scholarships returned: 1,100 (Australia 901, New Zealand 141, Canada 58); 1,096 open to international students. Providers with an approved logo: 265. QS 2027 ranked Australian providers: 38. QILT statistics: 116 Australian providers. Institution type: held for Australian and New Zealand providers (null for Canada).</w:t>
      </w:r>
    </w:p>
    <w:bookmarkEnd w:id="37"/>
    <w:bookmarkStart w:id="38"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8"/>
    <w:bookmarkStart w:id="39"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39"/>
    <w:bookmarkStart w:id="40" w:name="production"/>
    <w:p>
      <w:pPr>
        <w:pStyle w:val="Heading1"/>
      </w:pPr>
      <w:r>
        <w:t xml:space="preserve">11. Production</w:t>
      </w:r>
    </w:p>
    <w:p>
      <w:pPr>
        <w:numPr>
          <w:ilvl w:val="0"/>
          <w:numId w:val="1011"/>
        </w:numPr>
        <w:pStyle w:val="Compact"/>
      </w:pPr>
      <w:r>
        <w:t xml:space="preserve">At go-live you receive a separate Production key by secure channel; the endpoint address does not change.</w:t>
      </w:r>
    </w:p>
    <w:p>
      <w:pPr>
        <w:numPr>
          <w:ilvl w:val="0"/>
          <w:numId w:val="1011"/>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1"/>
        </w:numPr>
        <w:pStyle w:val="Compact"/>
      </w:pPr>
      <w:r>
        <w:t xml:space="preserve">The Pilot key is disabled after the Production tests pass.</w:t>
      </w:r>
    </w:p>
    <w:bookmarkEnd w:id="40"/>
    <w:bookmarkStart w:id="41" w:name="acceptance-tests"/>
    <w:p>
      <w:pPr>
        <w:pStyle w:val="Heading1"/>
      </w:pPr>
      <w:r>
        <w:t xml:space="preserve">12. Acceptance tests</w:t>
      </w:r>
    </w:p>
    <w:p>
      <w:pPr>
        <w:pStyle w:val="FirstParagraph"/>
      </w:pPr>
      <w:r>
        <w:t xml:space="preserve">Counts are as measured on Pilot on 15 October 2026; expect the same or more.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returns 200 with</w:t>
            </w:r>
            <w:r>
              <w:t xml:space="preserve"> </w:t>
            </w:r>
            <w:r>
              <w:rPr>
                <w:rStyle w:val="VerbatimChar"/>
              </w:rPr>
              <w:t xml:space="preserve">contract_version: "website-search-v2"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78 courses;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109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4,723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1,096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265 providers;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bl>
    <w:bookmarkEnd w:id="41"/>
    <w:bookmarkStart w:id="42" w:name="changes-to-this-guide"/>
    <w:p>
      <w:pPr>
        <w:pStyle w:val="Heading1"/>
      </w:pPr>
      <w:r>
        <w:t xml:space="preserve">13. Changes to this guide</w:t>
      </w:r>
    </w:p>
    <w:p>
      <w:pPr>
        <w:pStyle w:val="FirstParagraph"/>
      </w:pPr>
      <w:r>
        <w:t xml:space="preserve">Changes within</w:t>
      </w:r>
      <w:r>
        <w:t xml:space="preserve"> </w:t>
      </w:r>
      <w:r>
        <w:rPr>
          <w:rStyle w:val="VerbatimChar"/>
        </w:rPr>
        <w:t xml:space="preserve">website-search-v2</w:t>
      </w:r>
      <w:r>
        <w:t xml:space="preserve"> </w:t>
      </w:r>
      <w:r>
        <w:t xml:space="preserve">are additive. A change to the API (a new field, filter, action or behaviour) reissues this guide with a new date and a line here. Data grows between issues; the counts in this guide are measures on the date shown.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with the OpenAPI file and Postman collection. Changes from the Version 2 handover of 14 October 2026: a developer key;</w:t>
            </w:r>
            <w:r>
              <w:t xml:space="preserve"> </w:t>
            </w:r>
            <w:r>
              <w:rPr>
                <w:rStyle w:val="VerbatimChar"/>
              </w:rPr>
              <w:t xml:space="preserve">reference</w:t>
            </w:r>
            <w:r>
              <w:t xml:space="preserve"> </w:t>
            </w:r>
            <w:r>
              <w:t xml:space="preserve">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r>
        <w:tc>
          <w:tcPr/>
          <w:p>
            <w:pPr>
              <w:pStyle w:val="Compact"/>
              <w:jc w:val="left"/>
            </w:pPr>
            <w:r>
              <w:t xml:space="preserve">15 October 2026 (issue 2)</w:t>
            </w:r>
          </w:p>
        </w:tc>
        <w:tc>
          <w:tcPr/>
          <w:p>
            <w:pPr>
              <w:pStyle w:val="Compact"/>
              <w:jc w:val="left"/>
            </w:pPr>
            <w:r>
              <w:rPr>
                <w:rStyle w:val="VerbatimChar"/>
              </w:rPr>
              <w:t xml:space="preserve">sync</w:t>
            </w:r>
            <w:r>
              <w:t xml:space="preserve"> </w:t>
            </w:r>
            <w:r>
              <w:t xml:space="preserve">pages hold up to 200 items (was 50; default 200), and a page also stops at about 550 KB. A full load is about 250 calls, about 5 minutes (was about 1,400 calls, about 25 minutes). Sections 6.1 and 6.2 added: what to expect from a full load, and what we expect from your sync job</w:t>
            </w:r>
          </w:p>
        </w:tc>
      </w:tr>
    </w:tbl>
    <w:bookmarkEnd w:id="42"/>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website-search-v2 · Version 2 · 15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 Developer Guide</dc:title>
  <dc:creator/>
  <cp:keywords/>
  <dcterms:created xsi:type="dcterms:W3CDTF">2026-10-15T07:39:15Z</dcterms:created>
  <dcterms:modified xsi:type="dcterms:W3CDTF">2026-10-15T07:39:15Z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Contract website-search-v2 · Version 2 · 15 October 2026 · Pilot</vt:lpwstr>
  </property>
</Properties>
</file>