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3</w:t>
      </w:r>
      <w:r>
        <w:t xml:space="preserve"> </w:t>
      </w:r>
      <w:r>
        <w:t xml:space="preserve">·</w:t>
      </w:r>
      <w:r>
        <w:t xml:space="preserve"> </w:t>
      </w:r>
      <w:r>
        <w:t xml:space="preserve">16</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StudySearch-Website-API.openapi.json</w:t>
            </w:r>
            <w:r>
              <w:t xml:space="preserve"> </w:t>
            </w:r>
            <w:r>
              <w:t xml:space="preserve">(OpenAPI 3.1) and</w:t>
            </w:r>
            <w:r>
              <w:t xml:space="preserve"> </w:t>
            </w:r>
            <w:r>
              <w:rPr>
                <w:rStyle w:val="VerbatimChar"/>
              </w:rPr>
              <w:t xml:space="preserve">StudySearch-Website-API.postman_collection.json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1–200 (default 200). A page also stops at about 550 KB,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16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41,700 (courses 37,300; providers 1,885; scholarships 1,100; logos 1,399; ranking sets 56; reference 1)</w:t>
            </w:r>
          </w:p>
        </w:tc>
      </w:tr>
      <w:tr>
        <w:tc>
          <w:tcPr/>
          <w:p>
            <w:pPr>
              <w:pStyle w:val="Compact"/>
              <w:jc w:val="left"/>
            </w:pPr>
            <w:r>
              <w:t xml:space="preserve">Calls</w:t>
            </w:r>
          </w:p>
        </w:tc>
        <w:tc>
          <w:tcPr/>
          <w:p>
            <w:pPr>
              <w:pStyle w:val="Compact"/>
              <w:jc w:val="left"/>
            </w:pPr>
            <w:r>
              <w:t xml:space="preserve">About 260 at the default page size</w:t>
            </w:r>
          </w:p>
        </w:tc>
      </w:tr>
      <w:tr>
        <w:tc>
          <w:tcPr/>
          <w:p>
            <w:pPr>
              <w:pStyle w:val="Compact"/>
              <w:jc w:val="left"/>
            </w:pPr>
            <w:r>
              <w:t xml:space="preserve">Data</w:t>
            </w:r>
          </w:p>
        </w:tc>
        <w:tc>
          <w:tcPr/>
          <w:p>
            <w:pPr>
              <w:pStyle w:val="Compact"/>
              <w:jc w:val="left"/>
            </w:pPr>
            <w:r>
              <w:t xml:space="preserve">About 100 MB of JSON in total; the largest page about 550 KB</w:t>
            </w:r>
          </w:p>
        </w:tc>
      </w:tr>
      <w:tr>
        <w:tc>
          <w:tcPr/>
          <w:p>
            <w:pPr>
              <w:pStyle w:val="Compact"/>
              <w:jc w:val="left"/>
            </w:pPr>
            <w:r>
              <w:t xml:space="preserve">Reply time</w:t>
            </w:r>
          </w:p>
        </w:tc>
        <w:tc>
          <w:tcPr/>
          <w:p>
            <w:pPr>
              <w:pStyle w:val="Compact"/>
              <w:jc w:val="left"/>
            </w:pPr>
            <w:r>
              <w:t xml:space="preserve">Under a second a page</w:t>
            </w:r>
          </w:p>
        </w:tc>
      </w:tr>
      <w:tr>
        <w:tc>
          <w:tcPr/>
          <w:p>
            <w:pPr>
              <w:pStyle w:val="Compact"/>
              <w:jc w:val="left"/>
            </w:pPr>
            <w:r>
              <w:t xml:space="preserve">Elapsed time</w:t>
            </w:r>
          </w:p>
        </w:tc>
        <w:tc>
          <w:tcPr/>
          <w:p>
            <w:pPr>
              <w:pStyle w:val="Compact"/>
              <w:jc w:val="left"/>
            </w:pPr>
            <w:r>
              <w:t xml:space="preserve">About 5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6"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16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Give exactly one test code with a score</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End w:id="36"/>
    <w:bookmarkStart w:id="37" w:name="what-is-held-now"/>
    <w:p>
      <w:pPr>
        <w:pStyle w:val="Heading1"/>
      </w:pPr>
      <w:r>
        <w:t xml:space="preserve">8. What is held now</w:t>
      </w:r>
    </w:p>
    <w:p>
      <w:pPr>
        <w:pStyle w:val="FirstParagraph"/>
      </w:pPr>
      <w:r>
        <w:t xml:space="preserve">Courses or records the API returns holding a value (16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15,901</w:t>
            </w:r>
          </w:p>
        </w:tc>
        <w:tc>
          <w:tcPr/>
          <w:p>
            <w:pPr>
              <w:pStyle w:val="Compact"/>
              <w:jc w:val="left"/>
            </w:pPr>
            <w:r>
              <w:t xml:space="preserve">1,929</w:t>
            </w:r>
          </w:p>
        </w:tc>
        <w:tc>
          <w:tcPr/>
          <w:p>
            <w:pPr>
              <w:pStyle w:val="Compact"/>
              <w:jc w:val="left"/>
            </w:pPr>
            <w:r>
              <w:t xml:space="preserve">1,688</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25,716</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2,929</w:t>
            </w:r>
          </w:p>
        </w:tc>
        <w:tc>
          <w:tcPr/>
          <w:p>
            <w:pPr>
              <w:pStyle w:val="Compact"/>
              <w:jc w:val="left"/>
            </w:pPr>
            <w:r>
              <w:t xml:space="preserve">1,319</w:t>
            </w:r>
          </w:p>
        </w:tc>
      </w:tr>
      <w:tr>
        <w:tc>
          <w:tcPr/>
          <w:p>
            <w:pPr>
              <w:pStyle w:val="Compact"/>
              <w:jc w:val="left"/>
            </w:pPr>
            <w:r>
              <w:t xml:space="preserve">Delivery mode</w:t>
            </w:r>
          </w:p>
        </w:tc>
        <w:tc>
          <w:tcPr/>
          <w:p>
            <w:pPr>
              <w:pStyle w:val="Compact"/>
              <w:jc w:val="left"/>
            </w:pPr>
            <w:r>
              <w:t xml:space="preserve">26,087</w:t>
            </w:r>
          </w:p>
        </w:tc>
        <w:tc>
          <w:tcPr/>
          <w:p>
            <w:pPr>
              <w:pStyle w:val="Compact"/>
              <w:jc w:val="left"/>
            </w:pPr>
            <w:r>
              <w:t xml:space="preserve">3,870</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1,445. QS 2027 ranked Australian providers: 38. QILT statistics: 116 Australian providers. Institution type: held for Australian and New Zealand providers (null for Canada).</w:t>
      </w:r>
    </w:p>
    <w:bookmarkEnd w:id="37"/>
    <w:bookmarkStart w:id="38"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8"/>
    <w:bookmarkStart w:id="39"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9"/>
    <w:bookmarkStart w:id="40" w:name="production"/>
    <w:p>
      <w:pPr>
        <w:pStyle w:val="Heading1"/>
      </w:pPr>
      <w:r>
        <w:t xml:space="preserve">11. Production</w:t>
      </w:r>
    </w:p>
    <w:p>
      <w:pPr>
        <w:numPr>
          <w:ilvl w:val="0"/>
          <w:numId w:val="1011"/>
        </w:numPr>
        <w:pStyle w:val="Compact"/>
      </w:pPr>
      <w:r>
        <w:t xml:space="preserve">At go-live you receive a separate Production key by secure channel; the endpoint address does not change.</w:t>
      </w:r>
    </w:p>
    <w:p>
      <w:pPr>
        <w:numPr>
          <w:ilvl w:val="0"/>
          <w:numId w:val="1011"/>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1"/>
        </w:numPr>
        <w:pStyle w:val="Compact"/>
      </w:pPr>
      <w:r>
        <w:t xml:space="preserve">The Pilot key is disabled after the Production tests pass.</w:t>
      </w:r>
    </w:p>
    <w:bookmarkEnd w:id="40"/>
    <w:bookmarkStart w:id="41" w:name="acceptance-tests"/>
    <w:p>
      <w:pPr>
        <w:pStyle w:val="Heading1"/>
      </w:pPr>
      <w:r>
        <w:t xml:space="preserve">12. Acceptance tests</w:t>
      </w:r>
    </w:p>
    <w:p>
      <w:pPr>
        <w:pStyle w:val="FirstParagraph"/>
      </w:pPr>
      <w:r>
        <w:t xml:space="preserve">Counts are as measured on Pilot on 16 October 2026; expect the same or more.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1,445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41"/>
    <w:bookmarkStart w:id="42"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bl>
    <w:bookmarkEnd w:id="42"/>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3 · 16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 Developer Guide</dc:title>
  <dc:creator/>
  <cp:keywords/>
  <dcterms:created xsi:type="dcterms:W3CDTF">2026-10-16T00:59:00Z</dcterms:created>
  <dcterms:modified xsi:type="dcterms:W3CDTF">2026-10-16T00:59:00Z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3 · 16 October 2026 · Pilot</vt:lpwstr>
  </property>
</Properties>
</file>