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85383B" w14:textId="170D62F3" w:rsidR="00096B6D" w:rsidRDefault="00096B6D" w:rsidP="00096B6D">
      <w:pPr>
        <w:pStyle w:val="Ttulo1"/>
      </w:pPr>
      <w:bookmarkStart w:id="0" w:name="_Toc243487605"/>
      <w:r>
        <w:t>Referencias</w:t>
      </w:r>
      <w:bookmarkEnd w:id="0"/>
    </w:p>
    <w:p w14:paraId="27CADC3E" w14:textId="77777777" w:rsidR="00096B6D" w:rsidRDefault="00096B6D" w:rsidP="00096B6D">
      <w:pPr>
        <w:ind w:left="720" w:hanging="720"/>
      </w:pPr>
      <w:r>
        <w:t>Asociación Nacional del Café [Anacafé]. (s. f.-a). Formularios de exportación. Recuperado el 14 de octubre de 2026, de https://www.anacafe.org/formularios/</w:t>
      </w:r>
    </w:p>
    <w:p w14:paraId="2C7001D4" w14:textId="77777777" w:rsidR="00096B6D" w:rsidRDefault="00096B6D" w:rsidP="00096B6D">
      <w:pPr>
        <w:ind w:left="720" w:hanging="720"/>
      </w:pPr>
      <w:r>
        <w:t>Asociación Nacional del Café [Anacafé]. (s. f.-b). Guía de exportación para el sector café de Guatemala. https://www.anacafe.org/uploads/file/8d72ead9fba1468490f83491a5e2a91a/Detalles-Guia-de-Exportacion-Anacafe.pdf</w:t>
      </w:r>
    </w:p>
    <w:p w14:paraId="6002EA8B" w14:textId="77777777" w:rsidR="00096B6D" w:rsidRDefault="00096B6D" w:rsidP="00096B6D">
      <w:pPr>
        <w:ind w:left="720" w:hanging="720"/>
      </w:pPr>
      <w:r>
        <w:t>Asociación Nacional del Café [Anacafé]. (2022). Reconocen el trabajo de los productores de Guatemala, Chimaltenango, Escuintla, Sacatepéquez y El Progreso: 8.ª Competencia Regional. https://www.anacafe.org/articles/competencias-region-3-2022/</w:t>
      </w:r>
    </w:p>
    <w:p w14:paraId="6AECD01A" w14:textId="77777777" w:rsidR="00096B6D" w:rsidRDefault="00096B6D" w:rsidP="00096B6D">
      <w:pPr>
        <w:ind w:left="720" w:hanging="720"/>
      </w:pPr>
      <w:r>
        <w:t>Asociación Nacional del Café [Anacafé]. (2025, 14 de octubre). Café de Guatemala: resultados de la cosecha 2024-2025. https://www.anacafe.org/resultados-de-la-cosecha-2024-2025/</w:t>
      </w:r>
    </w:p>
    <w:p w14:paraId="19F86E15" w14:textId="77777777" w:rsidR="00096B6D" w:rsidRDefault="00096B6D" w:rsidP="00096B6D">
      <w:pPr>
        <w:ind w:left="720" w:hanging="720"/>
      </w:pPr>
      <w:r>
        <w:t>Asociación Guatemalteca de Exportadores [AGEXPORT]. (2024). Honduras: checklist de exportación de alimentos 2024. Comisión de Alimentos y Bebidas. https://sectores.export.com.gt/alimentos-y-bebidas/wp-content/uploads/sites/6/2022/05/Honduras-checklist-exportacion-de-alimentos-2024.pdf</w:t>
      </w:r>
    </w:p>
    <w:p w14:paraId="6AA3E009" w14:textId="77777777" w:rsidR="00096B6D" w:rsidRDefault="00096B6D" w:rsidP="00096B6D">
      <w:pPr>
        <w:ind w:left="720" w:hanging="720"/>
      </w:pPr>
      <w:r>
        <w:t>Cámara de Comercio Internacional [ICC]. (2019). Incoterms® 2020: reglas de la ICC para el uso de términos comerciales nacionales e internacionales. ICC Publications.</w:t>
      </w:r>
    </w:p>
    <w:p w14:paraId="2BD6B341" w14:textId="77777777" w:rsidR="00096B6D" w:rsidRDefault="00096B6D" w:rsidP="00096B6D">
      <w:pPr>
        <w:ind w:left="720" w:hanging="720"/>
      </w:pPr>
      <w:r>
        <w:t>Centro Europeo de Postgrado [CEUPE]. (s. f.). Carga perecedera: qué es, tipos y características. Recuperado el 11 de octubre de 2026, de https://www.ceupe.com/blog/carga-perecedera.html</w:t>
      </w:r>
    </w:p>
    <w:p w14:paraId="66A7935C" w14:textId="77777777" w:rsidR="00096B6D" w:rsidRDefault="00096B6D" w:rsidP="00096B6D">
      <w:pPr>
        <w:ind w:left="720" w:hanging="720"/>
      </w:pPr>
      <w:r>
        <w:lastRenderedPageBreak/>
        <w:t>Cesce España. (2017, 3 de agosto). Incoterms: un sistema crucial para el comercio internacional. https://www.cesce.es/es/w/asesores-de-pymes/incoterms-sistema-crucial-comercio-internacional</w:t>
      </w:r>
    </w:p>
    <w:p w14:paraId="45CD2CF4" w14:textId="77777777" w:rsidR="00096B6D" w:rsidRDefault="00096B6D" w:rsidP="00096B6D">
      <w:pPr>
        <w:ind w:left="720" w:hanging="720"/>
      </w:pPr>
      <w:r>
        <w:t>Congreso de la República de Guatemala. (1969). Decreto 19-69, Ley del Café. Diario de Centro América.</w:t>
      </w:r>
    </w:p>
    <w:p w14:paraId="6B426222" w14:textId="77777777" w:rsidR="00096B6D" w:rsidRDefault="00096B6D" w:rsidP="00096B6D">
      <w:pPr>
        <w:ind w:left="720" w:hanging="720"/>
      </w:pPr>
      <w:r>
        <w:t>Congreso de la República de Guatemala. (1992). Decreto 27-92, Ley del Impuesto al Valor Agregado. Diario de Centro América.</w:t>
      </w:r>
    </w:p>
    <w:p w14:paraId="6CBB95DB" w14:textId="77777777" w:rsidR="00096B6D" w:rsidRDefault="00096B6D" w:rsidP="00096B6D">
      <w:pPr>
        <w:ind w:left="720" w:hanging="720"/>
      </w:pPr>
      <w:r>
        <w:t>Congreso de la República de Guatemala. (1998a). Decreto 1-98, Ley Orgánica de la Superintendencia de Administración Tributaria. Diario de Centro América.</w:t>
      </w:r>
    </w:p>
    <w:p w14:paraId="7370D4C9" w14:textId="77777777" w:rsidR="00096B6D" w:rsidRDefault="00096B6D" w:rsidP="00096B6D">
      <w:pPr>
        <w:ind w:left="720" w:hanging="720"/>
      </w:pPr>
      <w:r>
        <w:t>Congreso de la República de Guatemala. (1998b). Decreto 36-98, Ley de Sanidad Vegetal y Animal. Diario de Centro América.</w:t>
      </w:r>
    </w:p>
    <w:p w14:paraId="4AA02851" w14:textId="77777777" w:rsidR="00096B6D" w:rsidRDefault="00096B6D" w:rsidP="00096B6D">
      <w:pPr>
        <w:ind w:left="720" w:hanging="720"/>
      </w:pPr>
      <w:r>
        <w:t>Congreso de la República de Guatemala. (2013). Decreto 14-2013, Ley Nacional de Aduanas. Diario de Centro América.</w:t>
      </w:r>
    </w:p>
    <w:p w14:paraId="7D378AA8" w14:textId="77777777" w:rsidR="00096B6D" w:rsidRDefault="00096B6D" w:rsidP="00096B6D">
      <w:pPr>
        <w:ind w:left="720" w:hanging="720"/>
      </w:pPr>
      <w:r>
        <w:t>Congreso de la República de Guatemala. (2016). Decreto 3-2016, Protocolo Habilitante para el proceso de integración profunda hacia el libre tránsito de mercancías y de personas naturales entre Guatemala y Honduras. Diario de Centro América.</w:t>
      </w:r>
    </w:p>
    <w:p w14:paraId="56CF4A10" w14:textId="77777777" w:rsidR="00096B6D" w:rsidRDefault="00096B6D" w:rsidP="00096B6D">
      <w:pPr>
        <w:ind w:left="720" w:hanging="720"/>
      </w:pPr>
      <w:r>
        <w:t>Congreso de la República de Guatemala. (2017). Decreto 1-2017, aprobación del Acuerdo sobre Facilitación del Comercio de la Organización Mundial del Comercio. Diario de Centro América.</w:t>
      </w:r>
    </w:p>
    <w:p w14:paraId="69592B64" w14:textId="77777777" w:rsidR="00096B6D" w:rsidRDefault="00096B6D" w:rsidP="00096B6D">
      <w:pPr>
        <w:ind w:left="720" w:hanging="720"/>
      </w:pPr>
      <w:r>
        <w:t>Consejo de Ministros de Integración Económica [COMIECO]. (2008). Código Aduanero Uniforme Centroamericano (CAUCA), Resolución N.º 223-2008.</w:t>
      </w:r>
    </w:p>
    <w:p w14:paraId="1CE28488" w14:textId="77777777" w:rsidR="00096B6D" w:rsidRDefault="00096B6D" w:rsidP="00096B6D">
      <w:pPr>
        <w:ind w:left="720" w:hanging="720"/>
      </w:pPr>
      <w:r>
        <w:t>Consejo de Ministros de Integración Económica [COMIECO]. (2018). Resolución N.º 409-2018, Declaración Única Centroamericana (DUCA). Secretaría de Integración Económica Centroamericana.</w:t>
      </w:r>
    </w:p>
    <w:p w14:paraId="390309C8" w14:textId="77777777" w:rsidR="00096B6D" w:rsidRDefault="00096B6D" w:rsidP="00096B6D">
      <w:pPr>
        <w:ind w:left="720" w:hanging="720"/>
      </w:pPr>
      <w:r>
        <w:lastRenderedPageBreak/>
        <w:t>Constitución Política de la República de Guatemala. (1985). Asamblea Nacional Constituyente.</w:t>
      </w:r>
    </w:p>
    <w:p w14:paraId="449B1639" w14:textId="77777777" w:rsidR="00096B6D" w:rsidRDefault="00096B6D" w:rsidP="00096B6D">
      <w:pPr>
        <w:ind w:left="720" w:hanging="720"/>
      </w:pPr>
      <w:r>
        <w:t>Daniels, J. D., Radebaugh, L. H., y Sullivan, D. P. (2013). Negocios internacionales: ambientes y operaciones (14.ª ed.). Pearson Educación.</w:t>
      </w:r>
    </w:p>
    <w:p w14:paraId="0CB05703" w14:textId="77777777" w:rsidR="00096B6D" w:rsidRDefault="00096B6D" w:rsidP="00096B6D">
      <w:pPr>
        <w:ind w:left="720" w:hanging="720"/>
      </w:pPr>
      <w:r>
        <w:t>Delpa Group. (2026). Incoterms 2020: guía completa (EXW, FOB, CIF, DDP). https://www.delpagroup.com/es/guias/incoterms</w:t>
      </w:r>
    </w:p>
    <w:p w14:paraId="6406BA72" w14:textId="77777777" w:rsidR="00096B6D" w:rsidRDefault="00096B6D" w:rsidP="00096B6D">
      <w:pPr>
        <w:ind w:left="720" w:hanging="720"/>
      </w:pPr>
      <w:r>
        <w:t>DHL Global Forwarding. (s. f.). Explicación de los Incoterms®. Recuperado el 8 de agosto de 2026, de https://www.dhl.com/gt-es/home/transporte-de-envios/centro-educativo-para-el-transporte-de-carga/incoterms-explicados.html</w:t>
      </w:r>
    </w:p>
    <w:p w14:paraId="712B95A2" w14:textId="77777777" w:rsidR="00096B6D" w:rsidRDefault="00096B6D" w:rsidP="00096B6D">
      <w:pPr>
        <w:ind w:left="720" w:hanging="720"/>
      </w:pPr>
      <w:r>
        <w:t>Directorio de la Superintendencia de Administración Tributaria. (2007). Acuerdo de Directorio 007-2007, Reglamento Interno de la Superintendencia de Administración Tributaria. Diario de Centro América.</w:t>
      </w:r>
    </w:p>
    <w:p w14:paraId="3018491C" w14:textId="77777777" w:rsidR="00096B6D" w:rsidRDefault="00096B6D" w:rsidP="00096B6D">
      <w:pPr>
        <w:ind w:left="720" w:hanging="720"/>
      </w:pPr>
      <w:r>
        <w:t>Global Negotiator. (s. f.). Mercancías perecederas. En Diccionario de comercio internacional. Recuperado el 23 de septiembre de 2026, de https://www.globalnegotiator.com/comercio-internacional/diccionario/mercancias-perecederas/</w:t>
      </w:r>
    </w:p>
    <w:p w14:paraId="2EB9882C" w14:textId="77777777" w:rsidR="00096B6D" w:rsidRDefault="00096B6D" w:rsidP="00096B6D">
      <w:pPr>
        <w:ind w:left="720" w:hanging="720"/>
      </w:pPr>
      <w:r>
        <w:t>Hill, C. W. L. (2011). Negocios internacionales: competencia en el mercado global (8.ª ed.). McGraw-Hill/Interamericana Editores.</w:t>
      </w:r>
    </w:p>
    <w:p w14:paraId="1EA9C106" w14:textId="77777777" w:rsidR="00096B6D" w:rsidRDefault="00096B6D" w:rsidP="00096B6D">
      <w:pPr>
        <w:ind w:left="720" w:hanging="720"/>
      </w:pPr>
      <w:r>
        <w:t>iContainers. (s. f.). Transporte marítimo a Guatemala. Recuperado el 14 de octubre de 2026, de https://www.icontainers.com/es/transporte-maritimo/guatemala/</w:t>
      </w:r>
    </w:p>
    <w:p w14:paraId="715ED021" w14:textId="77777777" w:rsidR="00096B6D" w:rsidRDefault="00096B6D" w:rsidP="00096B6D">
      <w:pPr>
        <w:ind w:left="720" w:hanging="720"/>
      </w:pPr>
      <w:r>
        <w:t>Instituto Español de Comercio Exterior [ICEX]. (s. f.). Legislación y trámites. Recuperado el 13 de agosto de 2026, de https://www.icex.es/es/servicios/informacion-legislacion/legislacion-tramites</w:t>
      </w:r>
    </w:p>
    <w:p w14:paraId="5D6370BB" w14:textId="77777777" w:rsidR="00096B6D" w:rsidRDefault="00096B6D" w:rsidP="00096B6D">
      <w:pPr>
        <w:ind w:left="720" w:hanging="720"/>
      </w:pPr>
      <w:r>
        <w:lastRenderedPageBreak/>
        <w:t>Ministerio de Agricultura, Ganadería y Alimentación [MAGA]. (2026a, 18 de marzo). Emisión de certificado fitosanitario de exportación y reexportación [Trámite]. Simplificación de trámites. https://apps.maga.gob.gt/simplificacion/Formularios/Details/782</w:t>
      </w:r>
    </w:p>
    <w:p w14:paraId="4AE8A19B" w14:textId="77777777" w:rsidR="00096B6D" w:rsidRDefault="00096B6D" w:rsidP="00096B6D">
      <w:pPr>
        <w:ind w:left="720" w:hanging="720"/>
      </w:pPr>
      <w:r>
        <w:t>Ministerio de Economía de Guatemala [MINECO]. (1986). Acuerdo Gubernativo 790-86, creación de la Ventanilla Única para las Exportaciones. Diario de Centro América.</w:t>
      </w:r>
    </w:p>
    <w:p w14:paraId="598C91D2" w14:textId="77777777" w:rsidR="00096B6D" w:rsidRDefault="00096B6D" w:rsidP="00096B6D">
      <w:pPr>
        <w:ind w:left="720" w:hanging="720"/>
      </w:pPr>
      <w:r>
        <w:t>Ministerio de Economía de Guatemala [MINECO]. (s. f.-a). Proceso de importación: alimentos procesados y bebidas. Comercio e Inversión Guate. https://comercioeinversionguate.gob.gt/static/doc/Proceso_importacion_alimentos.pdf</w:t>
      </w:r>
    </w:p>
    <w:p w14:paraId="00C30F51" w14:textId="574F8D37" w:rsidR="00096B6D" w:rsidRDefault="00096B6D" w:rsidP="00096B6D">
      <w:pPr>
        <w:ind w:left="720" w:hanging="720"/>
      </w:pPr>
      <w:r>
        <w:t>Ministerio de Economía de Guatemala [MINECO]. (s. f.-b). Proceso de importación general. Comercio e Inversión Guate.  https://comercioeinversionguate.gob.gt/static/doc/Proceso_importacion.pdf</w:t>
      </w:r>
    </w:p>
    <w:p w14:paraId="562F4ABA" w14:textId="77777777" w:rsidR="00096B6D" w:rsidRDefault="00096B6D" w:rsidP="00096B6D">
      <w:pPr>
        <w:ind w:left="720" w:hanging="720"/>
      </w:pPr>
      <w:r>
        <w:t>Portal de Trámites de Guatemala. (s. f.-a). Certificación sanitaria de importación (alimentos). Recuperado el 23 de septiembre de 2026, de https://tramites.gob.gt/servicio/2479/</w:t>
      </w:r>
    </w:p>
    <w:p w14:paraId="6F52932A" w14:textId="77777777" w:rsidR="00096B6D" w:rsidRDefault="00096B6D" w:rsidP="00096B6D">
      <w:pPr>
        <w:ind w:left="720" w:hanging="720"/>
      </w:pPr>
      <w:r>
        <w:t>Portal de Trámites de Guatemala. (s. f.-b). Certificado fitosanitario de exportación (trámite 112). Recuperado el 23 de septiembre de 2026, de https://tramites.gob.gt/servicio/2838/</w:t>
      </w:r>
    </w:p>
    <w:p w14:paraId="4DE4B681" w14:textId="77777777" w:rsidR="00096B6D" w:rsidRDefault="00096B6D" w:rsidP="00096B6D">
      <w:pPr>
        <w:ind w:left="720" w:hanging="720"/>
      </w:pPr>
      <w:r>
        <w:t>Portal de Trámites de Guatemala. (s. f.-c). Permiso fitosanitario de importación (trámite 115). Recuperado el 23 de septiembre de 2026, de http://www.tramites.gob.gt/servicio/2824/</w:t>
      </w:r>
    </w:p>
    <w:p w14:paraId="5A3A63A1" w14:textId="77777777" w:rsidR="00096B6D" w:rsidRDefault="00096B6D" w:rsidP="00096B6D">
      <w:pPr>
        <w:ind w:left="720" w:hanging="720"/>
      </w:pPr>
      <w:r>
        <w:t>Portal de Trámites de Guatemala. (s. f.-d). Registro sanitario de alimentos (nueva y renovación). Recuperado el 23 de septiembre de 2026, de https://tramites.gob.gt/servicio/1807/</w:t>
      </w:r>
    </w:p>
    <w:p w14:paraId="0D0CFF7E" w14:textId="77777777" w:rsidR="00096B6D" w:rsidRDefault="00096B6D" w:rsidP="00096B6D">
      <w:pPr>
        <w:ind w:left="720" w:hanging="720"/>
      </w:pPr>
      <w:r>
        <w:lastRenderedPageBreak/>
        <w:t>Promecafé. (s. f.). Guatemala y sus ocho regiones cafetaleras. Recuperado el 14 de octubre de 2026, de https://promecafe.net/?p=16112</w:t>
      </w:r>
    </w:p>
    <w:p w14:paraId="46B23CBF" w14:textId="77777777" w:rsidR="00096B6D" w:rsidRDefault="00096B6D" w:rsidP="00096B6D">
      <w:pPr>
        <w:ind w:left="720" w:hanging="720"/>
      </w:pPr>
      <w:r>
        <w:t>Raíz Andina. (2026). FOB, CIF o CFR: guía de Incoterms para importadores de alimentos. https://www.raizandina.com/blog/</w:t>
      </w:r>
    </w:p>
    <w:p w14:paraId="3ED1392A" w14:textId="77777777" w:rsidR="00096B6D" w:rsidRDefault="00096B6D" w:rsidP="00096B6D">
      <w:pPr>
        <w:ind w:left="720" w:hanging="720"/>
      </w:pPr>
      <w:r>
        <w:t>SEAL. (2026). Cómo constituir una sociedad anónima en Guatemala: requisitos y pasos. https://seal.com.gt/como-constituir-sociedad-anonima-guatemala/</w:t>
      </w:r>
    </w:p>
    <w:p w14:paraId="7B8AC88F" w14:textId="77777777" w:rsidR="00096B6D" w:rsidRDefault="00096B6D" w:rsidP="00096B6D">
      <w:pPr>
        <w:ind w:left="720" w:hanging="720"/>
      </w:pPr>
      <w:r>
        <w:t>Secretaría de Integración Económica Centroamericana [SIECA]. (s. f.). Declaración Única Centroamericana (DUCA) y Unión Aduanera. Recuperado el 8 de agosto de 2026, de https://www.sieca.int/</w:t>
      </w:r>
    </w:p>
    <w:p w14:paraId="163D2105" w14:textId="77777777" w:rsidR="00096B6D" w:rsidRDefault="00096B6D" w:rsidP="00096B6D">
      <w:pPr>
        <w:ind w:left="720" w:hanging="720"/>
      </w:pPr>
      <w:r>
        <w:t>Superintendencia de Administración Tributaria [SAT]. (s. f.-a). Requisitos para inscripción en el Registro de Importadores. Recuperado el 23 de septiembre de 2026, de https://portal.sat.gob.gt/portal/requisitos-para-inscripccion-en-el-registro-de-importadores/</w:t>
      </w:r>
    </w:p>
    <w:p w14:paraId="42287516" w14:textId="77777777" w:rsidR="00096B6D" w:rsidRDefault="00096B6D" w:rsidP="00096B6D">
      <w:pPr>
        <w:ind w:left="720" w:hanging="720"/>
      </w:pPr>
      <w:r>
        <w:t>Superintendencia de Administración Tributaria [SAT]. (s. f.-b). Selectivo de declaraciones de exportación. Recuperado el 10 de octubre de 2026, de https://portal.sat.gob.gt/portal/requisitos-tramites-aduanas/selectivo-de-declaraciones-de-exportacion/</w:t>
      </w:r>
    </w:p>
    <w:p w14:paraId="2520B6A5" w14:textId="77777777" w:rsidR="00096B6D" w:rsidRDefault="00096B6D" w:rsidP="00096B6D">
      <w:pPr>
        <w:ind w:left="720" w:hanging="720"/>
      </w:pPr>
      <w:r>
        <w:t>Superintendencia de Administración Tributaria [SAT]. (2026, marzo). Guatemala acelera su ruta de modernización aduanera: Plan de Acción Nacional 2026–2029. https://portal.sat.gob.gt/</w:t>
      </w:r>
    </w:p>
    <w:p w14:paraId="730B8FC3" w14:textId="77777777" w:rsidR="00096B6D" w:rsidRDefault="00096B6D" w:rsidP="00096B6D">
      <w:pPr>
        <w:ind w:left="720" w:hanging="720"/>
      </w:pPr>
      <w:r>
        <w:t>Ventanilla Única para las Exportaciones [VUPE]. (s. f.-a). Código de exportador. AGEXPORT. Recuperado el 10 de octubre de 2026, de https://vupe.gt/servicios/codigo-de-exportador/</w:t>
      </w:r>
    </w:p>
    <w:p w14:paraId="1D97120B" w14:textId="77777777" w:rsidR="00096B6D" w:rsidRDefault="00096B6D" w:rsidP="00096B6D">
      <w:pPr>
        <w:ind w:left="720" w:hanging="720"/>
      </w:pPr>
      <w:r>
        <w:lastRenderedPageBreak/>
        <w:t>Ventanilla Única para las Exportaciones [VUPE]. (s. f.-b). Declaración anticipada obligatoria Guatemala–El Salvador. AGEXPORT. Recuperado el 8 de agosto de 2026, de https://vupe.gt/</w:t>
      </w:r>
    </w:p>
    <w:p w14:paraId="479C008B" w14:textId="77777777" w:rsidR="00096B6D" w:rsidRDefault="00096B6D" w:rsidP="00096B6D">
      <w:pPr>
        <w:ind w:left="720" w:hanging="720"/>
      </w:pPr>
      <w:r>
        <w:t>Ventanilla Única para las Exportaciones [VUPE]. (s. f.-c). SEADEX Web: sistema electrónico de autorización de exportaciones. AGEXPORT. Recuperado el 8 de agosto de 2026, de https://vupe.gt/</w:t>
      </w:r>
    </w:p>
    <w:p w14:paraId="46CDB873" w14:textId="77777777" w:rsidR="00096B6D" w:rsidRDefault="00096B6D" w:rsidP="00096B6D">
      <w:pPr>
        <w:ind w:left="720" w:hanging="720"/>
      </w:pPr>
      <w:r>
        <w:t>Ventanilla Única para las Exportaciones [VUPE]. (2019). Requisitos básicos para exportar en la Ventanilla Única para las Exportaciones. AGEXPORT. https://vupe.gt/wp-content/uploads/2021/05/RequisitosXbasicosXparaXexportarXenXVentanillaXUnicaXParaXLasXExportacionesX2019.pdf</w:t>
      </w:r>
    </w:p>
    <w:p w14:paraId="7A4B0AFE" w14:textId="26C05D4B" w:rsidR="00004714" w:rsidRDefault="00004714" w:rsidP="00096B6D">
      <w:pPr>
        <w:pStyle w:val="Ttulo1"/>
      </w:pPr>
    </w:p>
    <w:sectPr w:rsidR="00004714" w:rsidSect="00160E66">
      <w:footerReference w:type="default" r:id="rId9"/>
      <w:footerReference w:type="first" r:id="rId10"/>
      <w:pgSz w:w="12240" w:h="15840"/>
      <w:pgMar w:top="1418" w:right="1701" w:bottom="1418" w:left="1701" w:header="709" w:footer="737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E43596" w14:textId="77777777" w:rsidR="00B8676A" w:rsidRDefault="00B8676A" w:rsidP="002A5270">
      <w:pPr>
        <w:spacing w:after="0" w:line="240" w:lineRule="auto"/>
      </w:pPr>
      <w:r>
        <w:separator/>
      </w:r>
    </w:p>
  </w:endnote>
  <w:endnote w:type="continuationSeparator" w:id="0">
    <w:p w14:paraId="52A444D1" w14:textId="77777777" w:rsidR="00B8676A" w:rsidRDefault="00B8676A" w:rsidP="002A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CC4DC8A-6F55-DD4A-A908-DF99AC50426C}"/>
    <w:embedBold r:id="rId2" w:fontKey="{1D769BC9-A6B1-6B4D-AE44-F103B824802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E5F9E085-F9CF-B441-A355-551C39DEA5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9331A96-6B7E-DE41-8B13-4069B402243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CC0DD388-58FE-C240-9192-833FBFFE5C95}"/>
  </w:font>
  <w:font w:name="Noto Sans Symbols">
    <w:charset w:val="00"/>
    <w:family w:val="auto"/>
    <w:pitch w:val="default"/>
    <w:embedRegular r:id="rId6" w:fontKey="{C42C11AE-DEFB-2747-B9CD-5F68966FF0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F6CB67A6-0268-DD4F-A207-9BF98D1C22FD}"/>
    <w:embedBold r:id="rId8" w:fontKey="{23EF0E5C-C7B3-A447-A135-02F716C72241}"/>
    <w:embedBoldItalic r:id="rId9" w:fontKey="{739B8893-8547-6B4D-A20E-D88AEA2385E9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0" w:fontKey="{274A3375-5982-8149-911C-7A1BD65D1EDF}"/>
    <w:embedBold r:id="rId11" w:fontKey="{7D444169-5C13-2A4A-9881-E380CABFF9BA}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1114C197-9851-9D45-BC1A-E0DA80D9682A}"/>
  </w:font>
  <w:font w:name="Avenir">
    <w:altName w:val="Calibri"/>
    <w:panose1 w:val="02000503020000020003"/>
    <w:charset w:val="00"/>
    <w:family w:val="auto"/>
    <w:pitch w:val="variable"/>
    <w:sig w:usb0="800000AF" w:usb1="5000204A" w:usb2="00000000" w:usb3="00000000" w:csb0="0000009B" w:csb1="00000000"/>
    <w:embedRegular r:id="rId13" w:fontKey="{896704CE-820F-A049-8264-EA522CA06D49}"/>
    <w:embedBold r:id="rId14" w:fontKey="{2D9234A8-D286-4E4F-AEF6-240165B32A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5" w:fontKey="{7AA5FC22-E35D-F846-A4F7-8B36AC2B6EDD}"/>
    <w:embedItalic r:id="rId16" w:fontKey="{CEFD4394-9BBD-9741-A6C9-51813DAE07E1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0533A2" w14:textId="77777777" w:rsidR="008803CD" w:rsidRDefault="008803CD" w:rsidP="008803CD">
    <w:pPr>
      <w:pBdr>
        <w:top w:val="single" w:sz="4" w:space="6" w:color="9A9A9A"/>
      </w:pBdr>
      <w:spacing w:after="60" w:line="240" w:lineRule="auto"/>
      <w:jc w:val="center"/>
      <w:rPr>
        <w:color w:val="555555"/>
        <w:sz w:val="15"/>
        <w:szCs w:val="15"/>
      </w:rPr>
    </w:pPr>
    <w:r>
      <w:rPr>
        <w:color w:val="555555"/>
        <w:sz w:val="15"/>
        <w:szCs w:val="15"/>
      </w:rPr>
      <w:t>Requisitos y Procedimientos para Importar y Exportar en Guatemala</w:t>
    </w:r>
  </w:p>
  <w:p w14:paraId="593E634A" w14:textId="3B10C93E" w:rsidR="008803CD" w:rsidRDefault="008803CD" w:rsidP="008803CD">
    <w:pPr>
      <w:pBdr>
        <w:top w:val="single" w:sz="4" w:space="6" w:color="9A9A9A"/>
      </w:pBdr>
      <w:spacing w:after="60" w:line="240" w:lineRule="auto"/>
      <w:jc w:val="center"/>
    </w:pP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>
      <w:rPr>
        <w:color w:val="555555"/>
        <w:sz w:val="15"/>
        <w:szCs w:val="15"/>
      </w:rPr>
      <w:t>15</w:t>
    </w:r>
    <w:r>
      <w:rPr>
        <w:color w:val="555555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65664214"/>
      <w:docPartObj>
        <w:docPartGallery w:val="Page Numbers (Bottom of Page)"/>
        <w:docPartUnique/>
      </w:docPartObj>
    </w:sdtPr>
    <w:sdtEndPr/>
    <w:sdtContent>
      <w:p w14:paraId="215F8A09" w14:textId="77777777" w:rsidR="00AF1D7F" w:rsidRDefault="00AF1D7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93F4F90" w14:textId="77777777" w:rsidR="00AF1D7F" w:rsidRDefault="00AF1D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C9C0F3" w14:textId="77777777" w:rsidR="00B8676A" w:rsidRDefault="00B8676A" w:rsidP="002A5270">
      <w:pPr>
        <w:spacing w:after="0" w:line="240" w:lineRule="auto"/>
      </w:pPr>
      <w:r>
        <w:separator/>
      </w:r>
    </w:p>
  </w:footnote>
  <w:footnote w:type="continuationSeparator" w:id="0">
    <w:p w14:paraId="05F809F3" w14:textId="77777777" w:rsidR="00B8676A" w:rsidRDefault="00B8676A" w:rsidP="002A5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448A9"/>
    <w:multiLevelType w:val="hybridMultilevel"/>
    <w:tmpl w:val="A93618E4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6891"/>
    <w:multiLevelType w:val="hybridMultilevel"/>
    <w:tmpl w:val="A19C5E5C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63A6F"/>
    <w:multiLevelType w:val="hybridMultilevel"/>
    <w:tmpl w:val="F4ECC93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91182"/>
    <w:multiLevelType w:val="hybridMultilevel"/>
    <w:tmpl w:val="9CF016C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AF47A6"/>
    <w:multiLevelType w:val="multilevel"/>
    <w:tmpl w:val="D0409D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50402D"/>
    <w:multiLevelType w:val="multilevel"/>
    <w:tmpl w:val="7486BAD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- 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B00CB"/>
    <w:multiLevelType w:val="hybridMultilevel"/>
    <w:tmpl w:val="3D6A9A08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673A2D"/>
    <w:multiLevelType w:val="hybridMultilevel"/>
    <w:tmpl w:val="150E01A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7E1E8A"/>
    <w:multiLevelType w:val="hybridMultilevel"/>
    <w:tmpl w:val="7446263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E23A1"/>
    <w:multiLevelType w:val="hybridMultilevel"/>
    <w:tmpl w:val="ADDE9B60"/>
    <w:lvl w:ilvl="0" w:tplc="322051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039C5"/>
    <w:multiLevelType w:val="hybridMultilevel"/>
    <w:tmpl w:val="D29EB4F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E440B2"/>
    <w:multiLevelType w:val="multilevel"/>
    <w:tmpl w:val="5930012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- 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63EDE"/>
    <w:multiLevelType w:val="hybridMultilevel"/>
    <w:tmpl w:val="38FC8D5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953D7"/>
    <w:multiLevelType w:val="hybridMultilevel"/>
    <w:tmpl w:val="71FE95A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4A3FEF"/>
    <w:multiLevelType w:val="multilevel"/>
    <w:tmpl w:val="DB9447B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75C0E82"/>
    <w:multiLevelType w:val="hybridMultilevel"/>
    <w:tmpl w:val="6A2CA6E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F6704B"/>
    <w:multiLevelType w:val="hybridMultilevel"/>
    <w:tmpl w:val="3C7E1468"/>
    <w:lvl w:ilvl="0" w:tplc="3294D6B2">
      <w:start w:val="1"/>
      <w:numFmt w:val="bullet"/>
      <w:lvlText w:val="●"/>
      <w:lvlJc w:val="left"/>
      <w:pPr>
        <w:ind w:left="720" w:hanging="360"/>
      </w:pPr>
    </w:lvl>
    <w:lvl w:ilvl="1" w:tplc="1056F2E6">
      <w:start w:val="1"/>
      <w:numFmt w:val="bullet"/>
      <w:lvlText w:val="○"/>
      <w:lvlJc w:val="left"/>
      <w:pPr>
        <w:ind w:left="1440" w:hanging="360"/>
      </w:pPr>
    </w:lvl>
    <w:lvl w:ilvl="2" w:tplc="245431A2">
      <w:start w:val="1"/>
      <w:numFmt w:val="bullet"/>
      <w:lvlText w:val="■"/>
      <w:lvlJc w:val="left"/>
      <w:pPr>
        <w:ind w:left="2160" w:hanging="360"/>
      </w:pPr>
    </w:lvl>
    <w:lvl w:ilvl="3" w:tplc="7B608F4A">
      <w:start w:val="1"/>
      <w:numFmt w:val="bullet"/>
      <w:lvlText w:val="●"/>
      <w:lvlJc w:val="left"/>
      <w:pPr>
        <w:ind w:left="2880" w:hanging="360"/>
      </w:pPr>
    </w:lvl>
    <w:lvl w:ilvl="4" w:tplc="8BB88350">
      <w:start w:val="1"/>
      <w:numFmt w:val="bullet"/>
      <w:lvlText w:val="○"/>
      <w:lvlJc w:val="left"/>
      <w:pPr>
        <w:ind w:left="3600" w:hanging="360"/>
      </w:pPr>
    </w:lvl>
    <w:lvl w:ilvl="5" w:tplc="0BA89F96">
      <w:start w:val="1"/>
      <w:numFmt w:val="bullet"/>
      <w:lvlText w:val="■"/>
      <w:lvlJc w:val="left"/>
      <w:pPr>
        <w:ind w:left="4320" w:hanging="360"/>
      </w:pPr>
    </w:lvl>
    <w:lvl w:ilvl="6" w:tplc="DA22C3BA">
      <w:start w:val="1"/>
      <w:numFmt w:val="bullet"/>
      <w:lvlText w:val="●"/>
      <w:lvlJc w:val="left"/>
      <w:pPr>
        <w:ind w:left="5040" w:hanging="360"/>
      </w:pPr>
    </w:lvl>
    <w:lvl w:ilvl="7" w:tplc="4F5273F8">
      <w:start w:val="1"/>
      <w:numFmt w:val="bullet"/>
      <w:lvlText w:val="●"/>
      <w:lvlJc w:val="left"/>
      <w:pPr>
        <w:ind w:left="5760" w:hanging="360"/>
      </w:pPr>
    </w:lvl>
    <w:lvl w:ilvl="8" w:tplc="4E043E60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3F985C6A"/>
    <w:multiLevelType w:val="hybridMultilevel"/>
    <w:tmpl w:val="36060D2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FD806DA"/>
    <w:multiLevelType w:val="hybridMultilevel"/>
    <w:tmpl w:val="0928A14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6B798F"/>
    <w:multiLevelType w:val="hybridMultilevel"/>
    <w:tmpl w:val="6358B3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0B511B"/>
    <w:multiLevelType w:val="hybridMultilevel"/>
    <w:tmpl w:val="E42E4D3C"/>
    <w:lvl w:ilvl="0" w:tplc="9652749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676BE0"/>
    <w:multiLevelType w:val="hybridMultilevel"/>
    <w:tmpl w:val="885234B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BA798D"/>
    <w:multiLevelType w:val="hybridMultilevel"/>
    <w:tmpl w:val="D64A80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22925"/>
    <w:multiLevelType w:val="hybridMultilevel"/>
    <w:tmpl w:val="437EAD4E"/>
    <w:lvl w:ilvl="0" w:tplc="2FAE854C">
      <w:start w:val="1"/>
      <w:numFmt w:val="bullet"/>
      <w:lvlText w:val="●"/>
      <w:lvlJc w:val="left"/>
      <w:pPr>
        <w:ind w:left="720" w:hanging="360"/>
      </w:pPr>
    </w:lvl>
    <w:lvl w:ilvl="1" w:tplc="4FAE1A9E">
      <w:start w:val="1"/>
      <w:numFmt w:val="bullet"/>
      <w:lvlText w:val="○"/>
      <w:lvlJc w:val="left"/>
      <w:pPr>
        <w:ind w:left="1440" w:hanging="360"/>
      </w:pPr>
    </w:lvl>
    <w:lvl w:ilvl="2" w:tplc="9BE4113E">
      <w:start w:val="1"/>
      <w:numFmt w:val="bullet"/>
      <w:lvlText w:val="■"/>
      <w:lvlJc w:val="left"/>
      <w:pPr>
        <w:ind w:left="2160" w:hanging="360"/>
      </w:pPr>
    </w:lvl>
    <w:lvl w:ilvl="3" w:tplc="E3C6CDCA">
      <w:start w:val="1"/>
      <w:numFmt w:val="bullet"/>
      <w:lvlText w:val="●"/>
      <w:lvlJc w:val="left"/>
      <w:pPr>
        <w:ind w:left="2880" w:hanging="360"/>
      </w:pPr>
    </w:lvl>
    <w:lvl w:ilvl="4" w:tplc="5D063C70">
      <w:start w:val="1"/>
      <w:numFmt w:val="bullet"/>
      <w:lvlText w:val="○"/>
      <w:lvlJc w:val="left"/>
      <w:pPr>
        <w:ind w:left="3600" w:hanging="360"/>
      </w:pPr>
    </w:lvl>
    <w:lvl w:ilvl="5" w:tplc="1FDA7A42">
      <w:start w:val="1"/>
      <w:numFmt w:val="bullet"/>
      <w:lvlText w:val="■"/>
      <w:lvlJc w:val="left"/>
      <w:pPr>
        <w:ind w:left="4320" w:hanging="360"/>
      </w:pPr>
    </w:lvl>
    <w:lvl w:ilvl="6" w:tplc="A8D6C27E">
      <w:start w:val="1"/>
      <w:numFmt w:val="bullet"/>
      <w:lvlText w:val="●"/>
      <w:lvlJc w:val="left"/>
      <w:pPr>
        <w:ind w:left="5040" w:hanging="360"/>
      </w:pPr>
    </w:lvl>
    <w:lvl w:ilvl="7" w:tplc="02827C6C">
      <w:start w:val="1"/>
      <w:numFmt w:val="bullet"/>
      <w:lvlText w:val="●"/>
      <w:lvlJc w:val="left"/>
      <w:pPr>
        <w:ind w:left="5760" w:hanging="360"/>
      </w:pPr>
    </w:lvl>
    <w:lvl w:ilvl="8" w:tplc="AEFEF8E2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52967F8D"/>
    <w:multiLevelType w:val="hybridMultilevel"/>
    <w:tmpl w:val="464E7B0C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0B4EB2"/>
    <w:multiLevelType w:val="hybridMultilevel"/>
    <w:tmpl w:val="7D1AD1F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7E0994"/>
    <w:multiLevelType w:val="hybridMultilevel"/>
    <w:tmpl w:val="5B72AAC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BAE5C79"/>
    <w:multiLevelType w:val="hybridMultilevel"/>
    <w:tmpl w:val="C93A540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8EE46FA"/>
    <w:multiLevelType w:val="multilevel"/>
    <w:tmpl w:val="5F329EB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BC52703"/>
    <w:multiLevelType w:val="hybridMultilevel"/>
    <w:tmpl w:val="BCE0884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8531075">
    <w:abstractNumId w:val="4"/>
  </w:num>
  <w:num w:numId="2" w16cid:durableId="1441334017">
    <w:abstractNumId w:val="14"/>
  </w:num>
  <w:num w:numId="3" w16cid:durableId="1508013757">
    <w:abstractNumId w:val="5"/>
  </w:num>
  <w:num w:numId="4" w16cid:durableId="133719314">
    <w:abstractNumId w:val="11"/>
  </w:num>
  <w:num w:numId="5" w16cid:durableId="843321035">
    <w:abstractNumId w:val="28"/>
  </w:num>
  <w:num w:numId="6" w16cid:durableId="498080484">
    <w:abstractNumId w:val="22"/>
  </w:num>
  <w:num w:numId="7" w16cid:durableId="1541013841">
    <w:abstractNumId w:val="19"/>
  </w:num>
  <w:num w:numId="8" w16cid:durableId="154539353">
    <w:abstractNumId w:val="10"/>
  </w:num>
  <w:num w:numId="9" w16cid:durableId="17926309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7544785">
    <w:abstractNumId w:val="12"/>
  </w:num>
  <w:num w:numId="11" w16cid:durableId="1480459716">
    <w:abstractNumId w:val="1"/>
  </w:num>
  <w:num w:numId="12" w16cid:durableId="1164708561">
    <w:abstractNumId w:val="0"/>
  </w:num>
  <w:num w:numId="13" w16cid:durableId="585654752">
    <w:abstractNumId w:val="9"/>
  </w:num>
  <w:num w:numId="14" w16cid:durableId="2104179315">
    <w:abstractNumId w:val="6"/>
  </w:num>
  <w:num w:numId="15" w16cid:durableId="44304519">
    <w:abstractNumId w:val="20"/>
  </w:num>
  <w:num w:numId="16" w16cid:durableId="1610821766">
    <w:abstractNumId w:val="18"/>
  </w:num>
  <w:num w:numId="17" w16cid:durableId="885994589">
    <w:abstractNumId w:val="3"/>
  </w:num>
  <w:num w:numId="18" w16cid:durableId="1678271099">
    <w:abstractNumId w:val="26"/>
  </w:num>
  <w:num w:numId="19" w16cid:durableId="364446454">
    <w:abstractNumId w:val="17"/>
  </w:num>
  <w:num w:numId="20" w16cid:durableId="1990478594">
    <w:abstractNumId w:val="27"/>
  </w:num>
  <w:num w:numId="21" w16cid:durableId="608587661">
    <w:abstractNumId w:val="8"/>
  </w:num>
  <w:num w:numId="22" w16cid:durableId="740253698">
    <w:abstractNumId w:val="2"/>
  </w:num>
  <w:num w:numId="23" w16cid:durableId="717048518">
    <w:abstractNumId w:val="23"/>
    <w:lvlOverride w:ilvl="0">
      <w:startOverride w:val="1"/>
    </w:lvlOverride>
  </w:num>
  <w:num w:numId="24" w16cid:durableId="93286898">
    <w:abstractNumId w:val="7"/>
  </w:num>
  <w:num w:numId="25" w16cid:durableId="1996645453">
    <w:abstractNumId w:val="13"/>
  </w:num>
  <w:num w:numId="26" w16cid:durableId="1165977195">
    <w:abstractNumId w:val="16"/>
    <w:lvlOverride w:ilvl="0">
      <w:startOverride w:val="1"/>
    </w:lvlOverride>
  </w:num>
  <w:num w:numId="27" w16cid:durableId="370619857">
    <w:abstractNumId w:val="24"/>
  </w:num>
  <w:num w:numId="28" w16cid:durableId="243103206">
    <w:abstractNumId w:val="25"/>
  </w:num>
  <w:num w:numId="29" w16cid:durableId="1430542564">
    <w:abstractNumId w:val="29"/>
  </w:num>
  <w:num w:numId="30" w16cid:durableId="370808180">
    <w:abstractNumId w:val="21"/>
  </w:num>
  <w:num w:numId="31" w16cid:durableId="33972084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091"/>
    <w:rsid w:val="0000100F"/>
    <w:rsid w:val="00002B86"/>
    <w:rsid w:val="00004714"/>
    <w:rsid w:val="0001097B"/>
    <w:rsid w:val="00011582"/>
    <w:rsid w:val="00027335"/>
    <w:rsid w:val="00033325"/>
    <w:rsid w:val="00046BB8"/>
    <w:rsid w:val="00055E37"/>
    <w:rsid w:val="000636BB"/>
    <w:rsid w:val="00070D1F"/>
    <w:rsid w:val="000759E5"/>
    <w:rsid w:val="000820B5"/>
    <w:rsid w:val="00091DC7"/>
    <w:rsid w:val="0009691B"/>
    <w:rsid w:val="00096B6D"/>
    <w:rsid w:val="000A1145"/>
    <w:rsid w:val="000B1BAA"/>
    <w:rsid w:val="000D438E"/>
    <w:rsid w:val="000E4D48"/>
    <w:rsid w:val="001016E4"/>
    <w:rsid w:val="001175E5"/>
    <w:rsid w:val="00126A20"/>
    <w:rsid w:val="00130239"/>
    <w:rsid w:val="001357B9"/>
    <w:rsid w:val="00140C8F"/>
    <w:rsid w:val="00141090"/>
    <w:rsid w:val="0014219C"/>
    <w:rsid w:val="00147A8C"/>
    <w:rsid w:val="00151E87"/>
    <w:rsid w:val="00157DA7"/>
    <w:rsid w:val="00160E66"/>
    <w:rsid w:val="00162A6B"/>
    <w:rsid w:val="0017044F"/>
    <w:rsid w:val="00170DED"/>
    <w:rsid w:val="001A10C1"/>
    <w:rsid w:val="001B2862"/>
    <w:rsid w:val="001B5010"/>
    <w:rsid w:val="001C2450"/>
    <w:rsid w:val="001C7C3C"/>
    <w:rsid w:val="001E75DA"/>
    <w:rsid w:val="001F1E90"/>
    <w:rsid w:val="001F2DB4"/>
    <w:rsid w:val="001F3AF1"/>
    <w:rsid w:val="001F7154"/>
    <w:rsid w:val="00211147"/>
    <w:rsid w:val="00211906"/>
    <w:rsid w:val="0021309A"/>
    <w:rsid w:val="0022657C"/>
    <w:rsid w:val="00231FC5"/>
    <w:rsid w:val="0023577D"/>
    <w:rsid w:val="002359E8"/>
    <w:rsid w:val="00235CA1"/>
    <w:rsid w:val="002447B7"/>
    <w:rsid w:val="00251046"/>
    <w:rsid w:val="00253ED2"/>
    <w:rsid w:val="00274038"/>
    <w:rsid w:val="00274AF9"/>
    <w:rsid w:val="002802FA"/>
    <w:rsid w:val="00282265"/>
    <w:rsid w:val="0028288A"/>
    <w:rsid w:val="00290B23"/>
    <w:rsid w:val="002A09BE"/>
    <w:rsid w:val="002A50EA"/>
    <w:rsid w:val="002A5270"/>
    <w:rsid w:val="002C1559"/>
    <w:rsid w:val="002D2080"/>
    <w:rsid w:val="002D755D"/>
    <w:rsid w:val="002F2F00"/>
    <w:rsid w:val="00305330"/>
    <w:rsid w:val="0032016D"/>
    <w:rsid w:val="0032723B"/>
    <w:rsid w:val="0033030A"/>
    <w:rsid w:val="003339AC"/>
    <w:rsid w:val="00341DE3"/>
    <w:rsid w:val="00362E12"/>
    <w:rsid w:val="00363EC2"/>
    <w:rsid w:val="003715B2"/>
    <w:rsid w:val="00371F08"/>
    <w:rsid w:val="0037645F"/>
    <w:rsid w:val="00376DD3"/>
    <w:rsid w:val="003820AA"/>
    <w:rsid w:val="00384205"/>
    <w:rsid w:val="003B7221"/>
    <w:rsid w:val="003C7773"/>
    <w:rsid w:val="003D76B0"/>
    <w:rsid w:val="003E2237"/>
    <w:rsid w:val="003E22FD"/>
    <w:rsid w:val="003E5EB7"/>
    <w:rsid w:val="004058ED"/>
    <w:rsid w:val="00415A5F"/>
    <w:rsid w:val="0041666A"/>
    <w:rsid w:val="00427AF5"/>
    <w:rsid w:val="00431307"/>
    <w:rsid w:val="004314C7"/>
    <w:rsid w:val="00433836"/>
    <w:rsid w:val="00437D12"/>
    <w:rsid w:val="00442668"/>
    <w:rsid w:val="0044530D"/>
    <w:rsid w:val="00457ED9"/>
    <w:rsid w:val="00483D1A"/>
    <w:rsid w:val="0049031F"/>
    <w:rsid w:val="00496C86"/>
    <w:rsid w:val="004B0CCD"/>
    <w:rsid w:val="004B4C8E"/>
    <w:rsid w:val="004E6905"/>
    <w:rsid w:val="004E726F"/>
    <w:rsid w:val="004E7531"/>
    <w:rsid w:val="004F3837"/>
    <w:rsid w:val="00524091"/>
    <w:rsid w:val="0053447B"/>
    <w:rsid w:val="005526C5"/>
    <w:rsid w:val="00554764"/>
    <w:rsid w:val="00554F87"/>
    <w:rsid w:val="005945AF"/>
    <w:rsid w:val="005B79E9"/>
    <w:rsid w:val="005F3173"/>
    <w:rsid w:val="006032A6"/>
    <w:rsid w:val="00606C27"/>
    <w:rsid w:val="0062338F"/>
    <w:rsid w:val="00625C19"/>
    <w:rsid w:val="006339EE"/>
    <w:rsid w:val="006477E7"/>
    <w:rsid w:val="006565F4"/>
    <w:rsid w:val="006671BB"/>
    <w:rsid w:val="006834B5"/>
    <w:rsid w:val="006854A2"/>
    <w:rsid w:val="006C48E6"/>
    <w:rsid w:val="006C7C95"/>
    <w:rsid w:val="006D2F66"/>
    <w:rsid w:val="006D3779"/>
    <w:rsid w:val="006E3F21"/>
    <w:rsid w:val="006F169E"/>
    <w:rsid w:val="006F6092"/>
    <w:rsid w:val="0071335C"/>
    <w:rsid w:val="0071556B"/>
    <w:rsid w:val="00725475"/>
    <w:rsid w:val="00727467"/>
    <w:rsid w:val="0073540C"/>
    <w:rsid w:val="00736905"/>
    <w:rsid w:val="00737CEE"/>
    <w:rsid w:val="00751025"/>
    <w:rsid w:val="007555B3"/>
    <w:rsid w:val="00763BCC"/>
    <w:rsid w:val="00776FB1"/>
    <w:rsid w:val="0078003A"/>
    <w:rsid w:val="00790DCE"/>
    <w:rsid w:val="00792615"/>
    <w:rsid w:val="00792D2B"/>
    <w:rsid w:val="007A0756"/>
    <w:rsid w:val="007A57A4"/>
    <w:rsid w:val="007A6BED"/>
    <w:rsid w:val="007B1C3B"/>
    <w:rsid w:val="007C2591"/>
    <w:rsid w:val="007C721F"/>
    <w:rsid w:val="007F20B5"/>
    <w:rsid w:val="007F6DE4"/>
    <w:rsid w:val="007F7720"/>
    <w:rsid w:val="0080391B"/>
    <w:rsid w:val="00817ABF"/>
    <w:rsid w:val="008317DB"/>
    <w:rsid w:val="00831EBA"/>
    <w:rsid w:val="00845B78"/>
    <w:rsid w:val="00850749"/>
    <w:rsid w:val="00850D4D"/>
    <w:rsid w:val="008556D6"/>
    <w:rsid w:val="00876AC6"/>
    <w:rsid w:val="008803CD"/>
    <w:rsid w:val="00881357"/>
    <w:rsid w:val="00892700"/>
    <w:rsid w:val="0089340A"/>
    <w:rsid w:val="008A10FB"/>
    <w:rsid w:val="008B7E21"/>
    <w:rsid w:val="008D3E75"/>
    <w:rsid w:val="008F3A71"/>
    <w:rsid w:val="00905F26"/>
    <w:rsid w:val="00911E27"/>
    <w:rsid w:val="00920592"/>
    <w:rsid w:val="00930F59"/>
    <w:rsid w:val="00933D1B"/>
    <w:rsid w:val="00940682"/>
    <w:rsid w:val="00960CDC"/>
    <w:rsid w:val="00977F24"/>
    <w:rsid w:val="009820DA"/>
    <w:rsid w:val="009826EC"/>
    <w:rsid w:val="00987A97"/>
    <w:rsid w:val="00996A5A"/>
    <w:rsid w:val="009A206E"/>
    <w:rsid w:val="009B6272"/>
    <w:rsid w:val="009C12D1"/>
    <w:rsid w:val="009E2A87"/>
    <w:rsid w:val="009E3DFE"/>
    <w:rsid w:val="009E4D22"/>
    <w:rsid w:val="00A018E9"/>
    <w:rsid w:val="00A31D03"/>
    <w:rsid w:val="00A454D0"/>
    <w:rsid w:val="00A56067"/>
    <w:rsid w:val="00A575EF"/>
    <w:rsid w:val="00A62D5E"/>
    <w:rsid w:val="00A804D1"/>
    <w:rsid w:val="00A83E8C"/>
    <w:rsid w:val="00A97494"/>
    <w:rsid w:val="00AB2414"/>
    <w:rsid w:val="00AB2885"/>
    <w:rsid w:val="00AD099A"/>
    <w:rsid w:val="00AD2C2F"/>
    <w:rsid w:val="00AE0135"/>
    <w:rsid w:val="00AF1D7F"/>
    <w:rsid w:val="00AF560A"/>
    <w:rsid w:val="00AF5C8F"/>
    <w:rsid w:val="00B04329"/>
    <w:rsid w:val="00B10DE1"/>
    <w:rsid w:val="00B319D0"/>
    <w:rsid w:val="00B42967"/>
    <w:rsid w:val="00B466B0"/>
    <w:rsid w:val="00B663D2"/>
    <w:rsid w:val="00B74E67"/>
    <w:rsid w:val="00B82108"/>
    <w:rsid w:val="00B8676A"/>
    <w:rsid w:val="00B9733E"/>
    <w:rsid w:val="00BA2EA0"/>
    <w:rsid w:val="00BA4094"/>
    <w:rsid w:val="00BB47E1"/>
    <w:rsid w:val="00BE5AAB"/>
    <w:rsid w:val="00C01DA1"/>
    <w:rsid w:val="00C06ECD"/>
    <w:rsid w:val="00C20CB1"/>
    <w:rsid w:val="00C367F4"/>
    <w:rsid w:val="00C46DA6"/>
    <w:rsid w:val="00C51E68"/>
    <w:rsid w:val="00C565DE"/>
    <w:rsid w:val="00C670CD"/>
    <w:rsid w:val="00C703EB"/>
    <w:rsid w:val="00C83D65"/>
    <w:rsid w:val="00CA0673"/>
    <w:rsid w:val="00CA4EDF"/>
    <w:rsid w:val="00CB143C"/>
    <w:rsid w:val="00CC71BD"/>
    <w:rsid w:val="00CF6663"/>
    <w:rsid w:val="00CF7D83"/>
    <w:rsid w:val="00D02180"/>
    <w:rsid w:val="00D02D1E"/>
    <w:rsid w:val="00D03457"/>
    <w:rsid w:val="00D066FE"/>
    <w:rsid w:val="00D11219"/>
    <w:rsid w:val="00D13A10"/>
    <w:rsid w:val="00D14FE1"/>
    <w:rsid w:val="00D320F0"/>
    <w:rsid w:val="00D47106"/>
    <w:rsid w:val="00D5380A"/>
    <w:rsid w:val="00D564F9"/>
    <w:rsid w:val="00D64536"/>
    <w:rsid w:val="00D84239"/>
    <w:rsid w:val="00DA06CE"/>
    <w:rsid w:val="00DB00F0"/>
    <w:rsid w:val="00DB0DF1"/>
    <w:rsid w:val="00DD3937"/>
    <w:rsid w:val="00DE1DA3"/>
    <w:rsid w:val="00DF092E"/>
    <w:rsid w:val="00DF32F8"/>
    <w:rsid w:val="00E02E52"/>
    <w:rsid w:val="00E2327C"/>
    <w:rsid w:val="00E23727"/>
    <w:rsid w:val="00E375D4"/>
    <w:rsid w:val="00E50623"/>
    <w:rsid w:val="00E537D7"/>
    <w:rsid w:val="00E54ED0"/>
    <w:rsid w:val="00E564FC"/>
    <w:rsid w:val="00E62F4D"/>
    <w:rsid w:val="00E65477"/>
    <w:rsid w:val="00E72757"/>
    <w:rsid w:val="00E7665E"/>
    <w:rsid w:val="00EA5720"/>
    <w:rsid w:val="00EB1BC1"/>
    <w:rsid w:val="00EB3721"/>
    <w:rsid w:val="00EB3FD1"/>
    <w:rsid w:val="00EC74F8"/>
    <w:rsid w:val="00ED265A"/>
    <w:rsid w:val="00EE0B62"/>
    <w:rsid w:val="00EE7FE8"/>
    <w:rsid w:val="00EF2CE0"/>
    <w:rsid w:val="00EF3236"/>
    <w:rsid w:val="00EF4CBE"/>
    <w:rsid w:val="00F07A9C"/>
    <w:rsid w:val="00F20EA8"/>
    <w:rsid w:val="00F31F28"/>
    <w:rsid w:val="00F33E9B"/>
    <w:rsid w:val="00F34028"/>
    <w:rsid w:val="00F42C9F"/>
    <w:rsid w:val="00F44386"/>
    <w:rsid w:val="00F448A6"/>
    <w:rsid w:val="00F47F0B"/>
    <w:rsid w:val="00F5427A"/>
    <w:rsid w:val="00F624EB"/>
    <w:rsid w:val="00F67956"/>
    <w:rsid w:val="00F67B22"/>
    <w:rsid w:val="00F85228"/>
    <w:rsid w:val="00FA2EE3"/>
    <w:rsid w:val="00FA4F34"/>
    <w:rsid w:val="00FB1793"/>
    <w:rsid w:val="00FE4457"/>
    <w:rsid w:val="00FE7664"/>
    <w:rsid w:val="00FE7F99"/>
    <w:rsid w:val="00FF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4838CA"/>
  <w15:docId w15:val="{80DC55DC-DDB6-49E8-BF30-2CD02C1F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zh-CN" w:bidi="ar-SA"/>
      </w:rPr>
    </w:rPrDefault>
    <w:pPrDefault>
      <w:pPr>
        <w:spacing w:after="12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154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line="360" w:lineRule="auto"/>
      <w:ind w:firstLine="0"/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b/>
      <w:i/>
      <w:color w:val="00000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5681B"/>
    <w:rPr>
      <w:rFonts w:ascii="Arial" w:eastAsiaTheme="majorEastAsia" w:hAnsi="Arial" w:cstheme="majorBidi"/>
      <w:b/>
      <w:kern w:val="0"/>
      <w:szCs w:val="32"/>
      <w:lang w:val="es-GT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5F345A"/>
    <w:rPr>
      <w:rFonts w:ascii="Arial" w:eastAsiaTheme="majorEastAsia" w:hAnsi="Arial" w:cstheme="majorBidi"/>
      <w:b/>
      <w:kern w:val="0"/>
      <w:szCs w:val="26"/>
      <w:lang w:val="es-GT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784A87"/>
    <w:rPr>
      <w:rFonts w:ascii="Arial" w:eastAsiaTheme="majorEastAsia" w:hAnsi="Arial" w:cstheme="majorBidi"/>
      <w:b/>
      <w:i/>
      <w:color w:val="000000" w:themeColor="text1"/>
      <w:kern w:val="0"/>
      <w:szCs w:val="24"/>
      <w:lang w:val="es-ES" w:eastAsia="en-US"/>
    </w:rPr>
  </w:style>
  <w:style w:type="paragraph" w:styleId="Prrafodelista">
    <w:name w:val="List Paragraph"/>
    <w:basedOn w:val="Normal"/>
    <w:qFormat/>
    <w:rsid w:val="004B522E"/>
    <w:pPr>
      <w:ind w:left="720"/>
      <w:contextualSpacing/>
    </w:pPr>
  </w:style>
  <w:style w:type="character" w:customStyle="1" w:styleId="TtuloCar">
    <w:name w:val="Título Car"/>
    <w:basedOn w:val="Fuentedeprrafopredeter"/>
    <w:link w:val="Ttulo"/>
    <w:uiPriority w:val="10"/>
    <w:rsid w:val="004B522E"/>
    <w:rPr>
      <w:rFonts w:asciiTheme="majorHAnsi" w:eastAsiaTheme="majorEastAsia" w:hAnsiTheme="majorHAnsi" w:cstheme="majorBidi"/>
      <w:spacing w:val="-10"/>
      <w:kern w:val="28"/>
      <w:sz w:val="56"/>
      <w:szCs w:val="56"/>
      <w:lang w:val="es-GT" w:eastAsia="en-US"/>
    </w:rPr>
  </w:style>
  <w:style w:type="paragraph" w:customStyle="1" w:styleId="TableHeading">
    <w:name w:val="Table Heading"/>
    <w:basedOn w:val="Normal"/>
    <w:rsid w:val="004B522E"/>
    <w:pPr>
      <w:widowControl w:val="0"/>
      <w:suppressLineNumbers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4B522E"/>
    <w:pPr>
      <w:outlineLvl w:val="9"/>
    </w:pPr>
    <w:rPr>
      <w:lang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4B522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B522E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4B522E"/>
    <w:pPr>
      <w:spacing w:before="120"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4B522E"/>
    <w:rPr>
      <w:rFonts w:ascii="Times New Roman" w:eastAsia="Times New Roman" w:hAnsi="Times New Roman" w:cs="Times New Roman"/>
      <w:color w:val="000000"/>
      <w:kern w:val="0"/>
      <w:sz w:val="20"/>
      <w:szCs w:val="20"/>
      <w:lang w:eastAsia="en-US"/>
    </w:rPr>
  </w:style>
  <w:style w:type="table" w:styleId="Tablaconcuadrcula">
    <w:name w:val="Table Grid"/>
    <w:basedOn w:val="Tablanormal"/>
    <w:uiPriority w:val="39"/>
    <w:rsid w:val="004B52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B522E"/>
    <w:pPr>
      <w:spacing w:after="0" w:line="240" w:lineRule="auto"/>
    </w:pPr>
    <w:rPr>
      <w:rFonts w:ascii="Avenir" w:eastAsia="Avenir" w:hAnsi="Avenir" w:cs="Avenir"/>
      <w:lang w:val="en"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B5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22E"/>
    <w:rPr>
      <w:rFonts w:eastAsiaTheme="minorHAnsi"/>
      <w:kern w:val="0"/>
      <w:lang w:val="es-GT" w:eastAsia="en-US"/>
    </w:rPr>
  </w:style>
  <w:style w:type="paragraph" w:styleId="Piedepgina">
    <w:name w:val="footer"/>
    <w:basedOn w:val="Normal"/>
    <w:link w:val="PiedepginaCar"/>
    <w:uiPriority w:val="99"/>
    <w:unhideWhenUsed/>
    <w:rsid w:val="004B5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22E"/>
    <w:rPr>
      <w:rFonts w:eastAsiaTheme="minorHAnsi"/>
      <w:kern w:val="0"/>
      <w:lang w:val="es-GT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B067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0679E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01168D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470D65"/>
  </w:style>
  <w:style w:type="paragraph" w:styleId="NormalWeb">
    <w:name w:val="Normal (Web)"/>
    <w:basedOn w:val="Normal"/>
    <w:uiPriority w:val="99"/>
    <w:semiHidden/>
    <w:unhideWhenUsed/>
    <w:rsid w:val="009F7A3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Sinespaciado">
    <w:name w:val="No Spacing"/>
    <w:uiPriority w:val="1"/>
    <w:rsid w:val="009F7A38"/>
    <w:pPr>
      <w:spacing w:after="0" w:line="240" w:lineRule="auto"/>
    </w:pPr>
    <w:rPr>
      <w:rFonts w:eastAsiaTheme="minorHAnsi"/>
      <w:lang w:eastAsia="en-US"/>
    </w:rPr>
  </w:style>
  <w:style w:type="character" w:styleId="Fuerte">
    <w:name w:val="Strong"/>
    <w:basedOn w:val="Fuentedeprrafopredeter"/>
    <w:uiPriority w:val="22"/>
    <w:qFormat/>
    <w:rsid w:val="009F7A38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680852"/>
    <w:rPr>
      <w:color w:val="954F72" w:themeColor="followedHyperlink"/>
      <w:u w:val="single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920E2"/>
  </w:style>
  <w:style w:type="character" w:customStyle="1" w:styleId="FechaCar">
    <w:name w:val="Fecha Car"/>
    <w:basedOn w:val="Fuentedeprrafopredeter"/>
    <w:link w:val="Fecha"/>
    <w:uiPriority w:val="99"/>
    <w:semiHidden/>
    <w:rsid w:val="00E920E2"/>
    <w:rPr>
      <w:rFonts w:ascii="Arial" w:eastAsiaTheme="minorHAnsi" w:hAnsi="Arial"/>
      <w:kern w:val="0"/>
      <w:lang w:val="es-GT" w:eastAsia="en-US"/>
    </w:rPr>
  </w:style>
  <w:style w:type="table" w:styleId="Tablaconcuadrcula4-nfasis6">
    <w:name w:val="Grid Table 4 Accent 6"/>
    <w:basedOn w:val="Tablanormal"/>
    <w:uiPriority w:val="49"/>
    <w:rsid w:val="009E04B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5">
    <w:name w:val="Grid Table 4 Accent 5"/>
    <w:basedOn w:val="Tablanormal"/>
    <w:uiPriority w:val="49"/>
    <w:rsid w:val="009E04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3">
    <w:name w:val="Grid Table 4 Accent 3"/>
    <w:basedOn w:val="Tablanormal"/>
    <w:uiPriority w:val="49"/>
    <w:rsid w:val="009E04B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APPA7">
    <w:name w:val="APPA 7"/>
    <w:basedOn w:val="Normal"/>
    <w:link w:val="APPA7Car"/>
    <w:qFormat/>
    <w:rsid w:val="00AD2C2F"/>
    <w:pPr>
      <w:spacing w:after="160"/>
    </w:pPr>
    <w:rPr>
      <w:rFonts w:eastAsiaTheme="minorHAnsi"/>
      <w:color w:val="000000" w:themeColor="text1"/>
      <w:kern w:val="2"/>
      <w:sz w:val="24"/>
      <w:lang w:eastAsia="en-US"/>
      <w14:ligatures w14:val="standardContextual"/>
    </w:rPr>
  </w:style>
  <w:style w:type="character" w:customStyle="1" w:styleId="APPA7Car">
    <w:name w:val="APPA 7 Car"/>
    <w:basedOn w:val="Fuentedeprrafopredeter"/>
    <w:link w:val="APPA7"/>
    <w:rsid w:val="00AD2C2F"/>
    <w:rPr>
      <w:rFonts w:eastAsiaTheme="minorHAnsi"/>
      <w:color w:val="000000" w:themeColor="text1"/>
      <w:kern w:val="2"/>
      <w:sz w:val="24"/>
      <w:lang w:eastAsia="en-US"/>
      <w14:ligatures w14:val="standardContextual"/>
    </w:rPr>
  </w:style>
  <w:style w:type="table" w:styleId="Tablaconcuadrcula4-nfasis2">
    <w:name w:val="Grid Table 4 Accent 2"/>
    <w:basedOn w:val="Tablanormal"/>
    <w:uiPriority w:val="49"/>
    <w:rsid w:val="00AD2C2F"/>
    <w:pPr>
      <w:spacing w:after="0" w:line="240" w:lineRule="auto"/>
      <w:ind w:firstLine="0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51E8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fzHr08yxY9bHqIE3hyKdW8ADQ==">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78696A-5A04-4EFE-9886-BF30C42E4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1289</Words>
  <Characters>6873</Characters>
  <Application>Microsoft Office Word</Application>
  <DocSecurity>0</DocSecurity>
  <Lines>129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Miguelangel Sitamul/MIX/GT</dc:creator>
  <cp:lastModifiedBy>Miguelangel Sitamul</cp:lastModifiedBy>
  <cp:revision>3</cp:revision>
  <cp:lastPrinted>2026-10-11T23:25:00Z</cp:lastPrinted>
  <dcterms:created xsi:type="dcterms:W3CDTF">2026-10-26T19:02:00Z</dcterms:created>
  <dcterms:modified xsi:type="dcterms:W3CDTF">2026-10-27T17:57:00Z</dcterms:modified>
</cp:coreProperties>
</file>