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Quickstart Guide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Hey there. Too lazy to read the manual? Don’t care about understanding everything there is to know about the crust? Just want to get started? Then this is the document for you.</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New Crusts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Fill in all of the values that you want for each personality and give your crust a name. Then just hit create crust. Boom everything is running!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You can also take the time to insert your own personality by taking the personality test. Just answer a series of 16 short questions, then give your crust a name, hit the create button and boom everything is running!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If you don’t really care you can also try to just hit the randomize button, hit create and boom everything is running!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Old Crusts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Have a crust you were running earlier that you saved? Have a crust file from a different computer? Then just hit the load button on the home screen, select the file, hit load and boom everything is running!</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Playing the Game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Don’t really know how to play? Bah knowing everything is for suckers, here is a few tips.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Try to make sure that your crust is happy by giving him food and entertainment. The better of a mood he is in, the happier he is to talk to other people. You can give him things by selecting something from the drop-down menu on the main window, then just hitting give.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Don’t want to stress about it too much? Try just flicking the AI switch in the top left hand corner and the crust will just start to take care of themselves.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Need to save? Tired of so much processor power being taken up? Select File-&gt;Save from the top left menu on the main screen. Then when you load select the file from where the executable for this game was run from.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Don’t Get the Point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You shouldn’t yet, have fun taking care of your pet though!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Guide.docx</dc:title>
</cp:coreProperties>
</file>