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pPr>
      <w:r>
        <w:t xml:space="preserve">Unit 1 — Studio Onboarding</w:t>
      </w:r>
    </w:p>
    <w:p>
      <w:pPr>
        <w:spacing w:after="60"/>
      </w:pPr>
      <w:r>
        <w:rPr>
          <w:i/>
          <w:iCs/>
          <w:color w:val="555555"/>
        </w:rPr>
        <w:t xml:space="preserve">Overview draft — for review before lesson-level content</w:t>
      </w:r>
    </w:p>
    <w:p>
      <w:pPr>
        <w:spacing w:after="320"/>
      </w:pPr>
      <w:r>
        <w:rPr>
          <w:color w:val="888888"/>
          <w:sz w:val="20"/>
          <w:szCs w:val="20"/>
        </w:rPr>
        <w:t xml:space="preserve">ICT 9 · 4 weeks · Prepared July 2026</w:t>
      </w:r>
    </w:p>
    <w:p>
      <w:pPr>
        <w:pStyle w:val="Heading1"/>
        <w:spacing w:after="160" w:before="320"/>
      </w:pPr>
      <w:r>
        <w:t xml:space="preserve">The Studio Frame</w:t>
      </w:r>
    </w:p>
    <w:p>
      <w:pPr>
        <w:spacing w:after="140"/>
      </w:pPr>
      <w:r>
        <w:t xml:space="preserve">Welcome to the studio. Before students touch any of the tools they'll use for the rest of the semester, they get onboarded the way any new hire would: understanding how the technology they depend on actually works, learning the studio's ground rules for working responsibly — with each other and with AI — and getting basic logistics sorted so nothing gets lost across 17 weeks. Nothing here is about building yet; it's about being ready to build.</w:t>
      </w:r>
    </w:p>
    <w:p>
      <w:pPr>
        <w:pStyle w:val="Heading1"/>
        <w:spacing w:after="160" w:before="320"/>
      </w:pPr>
      <w:r>
        <w:t xml:space="preserve">End Product: The New Hire Packet</w:t>
      </w:r>
    </w:p>
    <w:p>
      <w:pPr>
        <w:spacing w:after="140"/>
      </w:pPr>
      <w:r>
        <w:t xml:space="preserve">Instead of one big project, Unit 1 builds toward a New Hire Packet — a small set of artifacts that together prove a student is fully onboarded and ready for real studio work in Unit 2. It's assembled piece by piece across the four weeks and submitted as one packet at the end of Week 4.</w:t>
      </w:r>
    </w:p>
    <w:p>
      <w:pPr>
        <w:pStyle w:val="ListParagraph"/>
        <w:numPr>
          <w:ilvl w:val="0"/>
          <w:numId w:val="2"/>
        </w:numPr>
        <w:spacing w:after="80"/>
      </w:pPr>
      <w:r>
        <w:t xml:space="preserve">Signed Acceptable Use &amp; AI Use Agreement</w:t>
      </w:r>
    </w:p>
    <w:p>
      <w:pPr>
        <w:pStyle w:val="ListParagraph"/>
        <w:numPr>
          <w:ilvl w:val="0"/>
          <w:numId w:val="2"/>
        </w:numPr>
        <w:spacing w:after="80"/>
      </w:pPr>
      <w:r>
        <w:t xml:space="preserve">Organized ICT 9 folder on the H-drive/OneDrive</w:t>
      </w:r>
    </w:p>
    <w:p>
      <w:pPr>
        <w:pStyle w:val="ListParagraph"/>
        <w:numPr>
          <w:ilvl w:val="0"/>
          <w:numId w:val="2"/>
        </w:numPr>
        <w:spacing w:after="80"/>
      </w:pPr>
      <w:r>
        <w:t xml:space="preserve">Typing baseline score (Typing Club)</w:t>
      </w:r>
    </w:p>
    <w:p>
      <w:pPr>
        <w:pStyle w:val="ListParagraph"/>
        <w:numPr>
          <w:ilvl w:val="0"/>
          <w:numId w:val="2"/>
        </w:numPr>
        <w:spacing w:after="80"/>
      </w:pPr>
      <w:r>
        <w:t xml:space="preserve">Binary worksheet</w:t>
      </w:r>
    </w:p>
    <w:p>
      <w:pPr>
        <w:pStyle w:val="ListParagraph"/>
        <w:numPr>
          <w:ilvl w:val="0"/>
          <w:numId w:val="2"/>
        </w:numPr>
        <w:spacing w:after="80"/>
      </w:pPr>
      <w:r>
        <w:t xml:space="preserve">Network map + reflection</w:t>
      </w:r>
    </w:p>
    <w:p>
      <w:pPr>
        <w:pStyle w:val="ListParagraph"/>
        <w:numPr>
          <w:ilvl w:val="0"/>
          <w:numId w:val="2"/>
        </w:numPr>
        <w:spacing w:after="80"/>
      </w:pPr>
      <w:r>
        <w:t xml:space="preserve">Digital identity one-pager</w:t>
      </w:r>
    </w:p>
    <w:p>
      <w:pPr>
        <w:pStyle w:val="Heading1"/>
        <w:spacing w:after="160" w:before="320"/>
      </w:pPr>
      <w:r>
        <w:t xml:space="preserve">Learning Goals</w:t>
      </w:r>
    </w:p>
    <w:p>
      <w:pPr>
        <w:pStyle w:val="ListParagraph"/>
        <w:numPr>
          <w:ilvl w:val="0"/>
          <w:numId w:val="2"/>
        </w:numPr>
        <w:spacing w:after="80"/>
      </w:pPr>
      <w:r>
        <w:t xml:space="preserve">Explain how computers represent data in binary, and why it matters.</w:t>
      </w:r>
    </w:p>
    <w:p>
      <w:pPr>
        <w:pStyle w:val="ListParagraph"/>
        <w:numPr>
          <w:ilvl w:val="0"/>
          <w:numId w:val="2"/>
        </w:numPr>
        <w:spacing w:after="80"/>
      </w:pPr>
      <w:r>
        <w:t xml:space="preserve">Describe how networks connect devices — hardware, topology, and the client-server model.</w:t>
      </w:r>
    </w:p>
    <w:p>
      <w:pPr>
        <w:pStyle w:val="ListParagraph"/>
        <w:numPr>
          <w:ilvl w:val="0"/>
          <w:numId w:val="2"/>
        </w:numPr>
        <w:spacing w:after="80"/>
      </w:pPr>
      <w:r>
        <w:t xml:space="preserve">Identify core operating system functions across device types (mobile, open-source, proprietary).</w:t>
      </w:r>
    </w:p>
    <w:p>
      <w:pPr>
        <w:pStyle w:val="ListParagraph"/>
        <w:numPr>
          <w:ilvl w:val="0"/>
          <w:numId w:val="2"/>
        </w:numPr>
        <w:spacing w:after="80"/>
      </w:pPr>
      <w:r>
        <w:t xml:space="preserve">Apply responsible digital citizenship practices, including AI use norms.</w:t>
      </w:r>
    </w:p>
    <w:p>
      <w:pPr>
        <w:pStyle w:val="ListParagraph"/>
        <w:numPr>
          <w:ilvl w:val="0"/>
          <w:numId w:val="2"/>
        </w:numPr>
        <w:spacing w:after="80"/>
      </w:pPr>
      <w:r>
        <w:t xml:space="preserve">Organize digital files and folders consistently.</w:t>
      </w:r>
    </w:p>
    <w:p>
      <w:pPr>
        <w:pStyle w:val="ListParagraph"/>
        <w:numPr>
          <w:ilvl w:val="0"/>
          <w:numId w:val="2"/>
        </w:numPr>
        <w:spacing w:after="80"/>
      </w:pPr>
      <w:r>
        <w:t xml:space="preserve">Build typing accuracy and speed through daily practice.</w:t>
      </w:r>
    </w:p>
    <w:p>
      <w:pPr>
        <w:pStyle w:val="Heading1"/>
        <w:spacing w:after="160" w:before="320"/>
      </w:pPr>
      <w:r>
        <w:t xml:space="preserve">BC ADST 9 Alignment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rPr>
          <w:tblHeader/>
        </w:trPr>
        <w:tc>
          <w:tcPr>
            <w:tcW w:type="dxa" w:w="3360"/>
            <w:shd w:fill="D9D9D9" w:color="auto" w:val="clear"/>
            <w:tcMar>
              <w:top w:type="dxa" w:w="80"/>
              <w:left w:type="dxa" w:w="100"/>
              <w:bottom w:type="dxa" w:w="80"/>
              <w:right w:type="dxa" w:w="100"/>
            </w:tcMar>
          </w:tcPr>
          <w:p>
            <w:r>
              <w:rPr>
                <w:b/>
                <w:bCs/>
              </w:rPr>
              <w:t xml:space="preserve">Big Ideas</w:t>
            </w:r>
          </w:p>
        </w:tc>
        <w:tc>
          <w:tcPr>
            <w:tcW w:type="dxa" w:w="3360"/>
            <w:shd w:fill="D9D9D9" w:color="auto" w:val="clear"/>
            <w:tcMar>
              <w:top w:type="dxa" w:w="80"/>
              <w:left w:type="dxa" w:w="100"/>
              <w:bottom w:type="dxa" w:w="80"/>
              <w:right w:type="dxa" w:w="100"/>
            </w:tcMar>
          </w:tcPr>
          <w:p>
            <w:r>
              <w:rPr>
                <w:b/>
                <w:bCs/>
              </w:rPr>
              <w:t xml:space="preserve">Curricular Competencies</w:t>
            </w:r>
          </w:p>
        </w:tc>
        <w:tc>
          <w:tcPr>
            <w:tcW w:type="dxa" w:w="3360"/>
            <w:shd w:fill="D9D9D9" w:color="auto" w:val="clear"/>
            <w:tcMar>
              <w:top w:type="dxa" w:w="80"/>
              <w:left w:type="dxa" w:w="100"/>
              <w:bottom w:type="dxa" w:w="80"/>
              <w:right w:type="dxa" w:w="100"/>
            </w:tcMar>
          </w:tcPr>
          <w:p>
            <w:r>
              <w:rPr>
                <w:b/>
                <w:bCs/>
              </w:rPr>
              <w:t xml:space="preserve">Content Connections</w:t>
            </w:r>
          </w:p>
        </w:tc>
      </w:tr>
      <w:tr>
        <w:tc>
          <w:tcPr>
            <w:tcW w:type="dxa" w:w="3360"/>
            <w:tcMar>
              <w:top w:type="dxa" w:w="80"/>
              <w:left w:type="dxa" w:w="100"/>
              <w:bottom w:type="dxa" w:w="80"/>
              <w:right w:type="dxa" w:w="100"/>
            </w:tcMar>
          </w:tcPr>
          <w:p>
            <w:r>
              <w:rPr>
                <w:b w:val="false"/>
                <w:bCs w:val="false"/>
              </w:rPr>
              <w:t xml:space="preserve">Complex tasks require the sequencing of skills.</w:t>
            </w:r>
          </w:p>
        </w:tc>
        <w:tc>
          <w:tcPr>
            <w:tcW w:type="dxa" w:w="3360"/>
            <w:tcMar>
              <w:top w:type="dxa" w:w="80"/>
              <w:left w:type="dxa" w:w="100"/>
              <w:bottom w:type="dxa" w:w="80"/>
              <w:right w:type="dxa" w:w="100"/>
            </w:tcMar>
          </w:tcPr>
          <w:p>
            <w:r>
              <w:rPr>
                <w:b w:val="false"/>
                <w:bCs w:val="false"/>
              </w:rPr>
              <w:t xml:space="preserve">Understand context before creating; research and define a problem.</w:t>
            </w:r>
          </w:p>
        </w:tc>
        <w:tc>
          <w:tcPr>
            <w:tcW w:type="dxa" w:w="3360"/>
            <w:tcMar>
              <w:top w:type="dxa" w:w="80"/>
              <w:left w:type="dxa" w:w="100"/>
              <w:bottom w:type="dxa" w:w="80"/>
              <w:right w:type="dxa" w:w="100"/>
            </w:tcMar>
          </w:tcPr>
          <w:p>
            <w:r>
              <w:rPr>
                <w:b w:val="false"/>
                <w:bCs w:val="false"/>
              </w:rPr>
              <w:t xml:space="preserve">Binary representation of data; functions of operating systems.</w:t>
            </w:r>
          </w:p>
        </w:tc>
      </w:tr>
      <w:tr>
        <w:tc>
          <w:tcPr>
            <w:tcW w:type="dxa" w:w="3360"/>
            <w:tcMar>
              <w:top w:type="dxa" w:w="80"/>
              <w:left w:type="dxa" w:w="100"/>
              <w:bottom w:type="dxa" w:w="80"/>
              <w:right w:type="dxa" w:w="100"/>
            </w:tcMar>
          </w:tcPr>
          <w:p>
            <w:r>
              <w:rPr>
                <w:b w:val="false"/>
                <w:bCs w:val="false"/>
              </w:rPr>
              <w:t xml:space="preserve">Social, ethical, and sustainability considerations impact design.</w:t>
            </w:r>
          </w:p>
        </w:tc>
        <w:tc>
          <w:tcPr>
            <w:tcW w:type="dxa" w:w="3360"/>
            <w:tcMar>
              <w:top w:type="dxa" w:w="80"/>
              <w:left w:type="dxa" w:w="100"/>
              <w:bottom w:type="dxa" w:w="80"/>
              <w:right w:type="dxa" w:w="100"/>
            </w:tcMar>
          </w:tcPr>
          <w:p>
            <w:r>
              <w:rPr>
                <w:b w:val="false"/>
                <w:bCs w:val="false"/>
              </w:rPr>
              <w:t xml:space="preserve">Use technology safely, ethically, and responsibly.</w:t>
            </w:r>
          </w:p>
        </w:tc>
        <w:tc>
          <w:tcPr>
            <w:tcW w:type="dxa" w:w="3360"/>
            <w:tcMar>
              <w:top w:type="dxa" w:w="80"/>
              <w:left w:type="dxa" w:w="100"/>
              <w:bottom w:type="dxa" w:w="80"/>
              <w:right w:type="dxa" w:w="100"/>
            </w:tcMar>
          </w:tcPr>
          <w:p>
            <w:r>
              <w:rPr>
                <w:b w:val="false"/>
                <w:bCs w:val="false"/>
              </w:rPr>
              <w:t xml:space="preserve">Digital citizenship, AI ethics, online identity and footprint.</w:t>
            </w:r>
          </w:p>
        </w:tc>
      </w:tr>
      <w:tr>
        <w:tc>
          <w:tcPr>
            <w:tcW w:type="dxa" w:w="3360"/>
            <w:tcMar>
              <w:top w:type="dxa" w:w="80"/>
              <w:left w:type="dxa" w:w="100"/>
              <w:bottom w:type="dxa" w:w="80"/>
              <w:right w:type="dxa" w:w="100"/>
            </w:tcMar>
          </w:tcPr>
          <w:p>
            <w:r>
              <w:rPr>
                <w:b w:val="false"/>
                <w:bCs w:val="false"/>
              </w:rPr>
              <w:t xml:space="preserve">Complex tasks require different technologies and tools at different stages.</w:t>
            </w:r>
          </w:p>
        </w:tc>
        <w:tc>
          <w:tcPr>
            <w:tcW w:type="dxa" w:w="3360"/>
            <w:tcMar>
              <w:top w:type="dxa" w:w="80"/>
              <w:left w:type="dxa" w:w="100"/>
              <w:bottom w:type="dxa" w:w="80"/>
              <w:right w:type="dxa" w:w="100"/>
            </w:tcMar>
          </w:tcPr>
          <w:p>
            <w:r>
              <w:rPr>
                <w:b w:val="false"/>
                <w:bCs w:val="false"/>
              </w:rPr>
              <w:t xml:space="preserve">Choose and adapt appropriate tools and technologies.</w:t>
            </w:r>
          </w:p>
        </w:tc>
        <w:tc>
          <w:tcPr>
            <w:tcW w:type="dxa" w:w="3360"/>
            <w:tcMar>
              <w:top w:type="dxa" w:w="80"/>
              <w:left w:type="dxa" w:w="100"/>
              <w:bottom w:type="dxa" w:w="80"/>
              <w:right w:type="dxa" w:w="100"/>
            </w:tcMar>
          </w:tcPr>
          <w:p>
            <w:r>
              <w:rPr>
                <w:b w:val="false"/>
                <w:bCs w:val="false"/>
              </w:rPr>
              <w:t xml:space="preserve">Networking hardware and topology; client-server relationships; keyboarding technique.</w:t>
            </w:r>
          </w:p>
        </w:tc>
      </w:tr>
    </w:tbl>
    <w:p>
      <w:pPr>
        <w:spacing w:after="120"/>
      </w:pPr>
    </w:p>
    <w:p>
      <w:pPr>
        <w:pStyle w:val="Heading1"/>
        <w:spacing w:after="160" w:before="320"/>
      </w:pPr>
      <w:r>
        <w:t xml:space="preserve">Unit Sequence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00"/>
        <w:gridCol w:w="2600"/>
        <w:gridCol w:w="3480"/>
        <w:gridCol w:w="3300"/>
      </w:tblGrid>
      <w:tr>
        <w:trPr>
          <w:tblHeader/>
        </w:trPr>
        <w:tc>
          <w:tcPr>
            <w:tcW w:type="dxa" w:w="700"/>
            <w:shd w:fill="D9D9D9" w:color="auto" w:val="clear"/>
            <w:tcMar>
              <w:top w:type="dxa" w:w="80"/>
              <w:left w:type="dxa" w:w="100"/>
              <w:bottom w:type="dxa" w:w="80"/>
              <w:right w:type="dxa" w:w="100"/>
            </w:tcMar>
          </w:tcPr>
          <w:p>
            <w:r>
              <w:rPr>
                <w:b/>
                <w:bCs/>
              </w:rPr>
              <w:t xml:space="preserve">Week</w:t>
            </w:r>
          </w:p>
        </w:tc>
        <w:tc>
          <w:tcPr>
            <w:tcW w:type="dxa" w:w="2600"/>
            <w:shd w:fill="D9D9D9" w:color="auto" w:val="clear"/>
            <w:tcMar>
              <w:top w:type="dxa" w:w="80"/>
              <w:left w:type="dxa" w:w="100"/>
              <w:bottom w:type="dxa" w:w="80"/>
              <w:right w:type="dxa" w:w="100"/>
            </w:tcMar>
          </w:tcPr>
          <w:p>
            <w:r>
              <w:rPr>
                <w:b/>
                <w:bCs/>
              </w:rPr>
              <w:t xml:space="preserve">Focus</w:t>
            </w:r>
          </w:p>
        </w:tc>
        <w:tc>
          <w:tcPr>
            <w:tcW w:type="dxa" w:w="3480"/>
            <w:shd w:fill="D9D9D9" w:color="auto" w:val="clear"/>
            <w:tcMar>
              <w:top w:type="dxa" w:w="80"/>
              <w:left w:type="dxa" w:w="100"/>
              <w:bottom w:type="dxa" w:w="80"/>
              <w:right w:type="dxa" w:w="100"/>
            </w:tcMar>
          </w:tcPr>
          <w:p>
            <w:r>
              <w:rPr>
                <w:b/>
                <w:bCs/>
              </w:rPr>
              <w:t xml:space="preserve">Key Concepts</w:t>
            </w:r>
          </w:p>
        </w:tc>
        <w:tc>
          <w:tcPr>
            <w:tcW w:type="dxa" w:w="3300"/>
            <w:shd w:fill="D9D9D9" w:color="auto" w:val="clear"/>
            <w:tcMar>
              <w:top w:type="dxa" w:w="80"/>
              <w:left w:type="dxa" w:w="100"/>
              <w:bottom w:type="dxa" w:w="80"/>
              <w:right w:type="dxa" w:w="100"/>
            </w:tcMar>
          </w:tcPr>
          <w:p>
            <w:r>
              <w:rPr>
                <w:b/>
                <w:bCs/>
              </w:rPr>
              <w:t xml:space="preserve">Deliverable</w:t>
            </w:r>
          </w:p>
        </w:tc>
      </w:tr>
      <w:tr>
        <w:tc>
          <w:tcPr>
            <w:tcW w:type="dxa" w:w="700"/>
            <w:tcMar>
              <w:top w:type="dxa" w:w="80"/>
              <w:left w:type="dxa" w:w="100"/>
              <w:bottom w:type="dxa" w:w="80"/>
              <w:right w:type="dxa" w:w="100"/>
            </w:tcMar>
          </w:tcPr>
          <w:p>
            <w:r>
              <w:rPr>
                <w:b w:val="false"/>
                <w:bCs w:val="false"/>
              </w:rPr>
              <w:t xml:space="preserve">1</w:t>
            </w:r>
          </w:p>
        </w:tc>
        <w:tc>
          <w:tcPr>
            <w:tcW w:type="dxa" w:w="2600"/>
            <w:tcMar>
              <w:top w:type="dxa" w:w="80"/>
              <w:left w:type="dxa" w:w="100"/>
              <w:bottom w:type="dxa" w:w="80"/>
              <w:right w:type="dxa" w:w="100"/>
            </w:tcMar>
          </w:tcPr>
          <w:p>
            <w:r>
              <w:rPr>
                <w:b w:val="false"/>
                <w:bCs w:val="false"/>
              </w:rPr>
              <w:t xml:space="preserve">Welcome &amp; Studio Setup (exists — lesson 1.1)</w:t>
            </w:r>
          </w:p>
        </w:tc>
        <w:tc>
          <w:tcPr>
            <w:tcW w:type="dxa" w:w="3480"/>
            <w:tcMar>
              <w:top w:type="dxa" w:w="80"/>
              <w:left w:type="dxa" w:w="100"/>
              <w:bottom w:type="dxa" w:w="80"/>
              <w:right w:type="dxa" w:w="100"/>
            </w:tcMar>
          </w:tcPr>
          <w:p>
            <w:r>
              <w:rPr>
                <w:b w:val="false"/>
                <w:bCs w:val="false"/>
              </w:rPr>
              <w:t xml:space="preserve">Course expectations, scavenger hunt, folder setup, typing baseline</w:t>
            </w:r>
          </w:p>
        </w:tc>
        <w:tc>
          <w:tcPr>
            <w:tcW w:type="dxa" w:w="3300"/>
            <w:tcMar>
              <w:top w:type="dxa" w:w="80"/>
              <w:left w:type="dxa" w:w="100"/>
              <w:bottom w:type="dxa" w:w="80"/>
              <w:right w:type="dxa" w:w="100"/>
            </w:tcMar>
          </w:tcPr>
          <w:p>
            <w:r>
              <w:rPr>
                <w:b w:val="false"/>
                <w:bCs w:val="false"/>
              </w:rPr>
              <w:t xml:space="preserve">Scavenger hunt + typing placement</w:t>
            </w:r>
          </w:p>
        </w:tc>
      </w:tr>
      <w:tr>
        <w:tc>
          <w:tcPr>
            <w:tcW w:type="dxa" w:w="700"/>
            <w:tcMar>
              <w:top w:type="dxa" w:w="80"/>
              <w:left w:type="dxa" w:w="100"/>
              <w:bottom w:type="dxa" w:w="80"/>
              <w:right w:type="dxa" w:w="100"/>
            </w:tcMar>
          </w:tcPr>
          <w:p>
            <w:r>
              <w:rPr>
                <w:b w:val="false"/>
                <w:bCs w:val="false"/>
              </w:rPr>
              <w:t xml:space="preserve">2</w:t>
            </w:r>
          </w:p>
        </w:tc>
        <w:tc>
          <w:tcPr>
            <w:tcW w:type="dxa" w:w="2600"/>
            <w:tcMar>
              <w:top w:type="dxa" w:w="80"/>
              <w:left w:type="dxa" w:w="100"/>
              <w:bottom w:type="dxa" w:w="80"/>
              <w:right w:type="dxa" w:w="100"/>
            </w:tcMar>
          </w:tcPr>
          <w:p>
            <w:r>
              <w:rPr>
                <w:b w:val="false"/>
                <w:bCs w:val="false"/>
              </w:rPr>
              <w:t xml:space="preserve">How Computers Think</w:t>
            </w:r>
          </w:p>
        </w:tc>
        <w:tc>
          <w:tcPr>
            <w:tcW w:type="dxa" w:w="3480"/>
            <w:tcMar>
              <w:top w:type="dxa" w:w="80"/>
              <w:left w:type="dxa" w:w="100"/>
              <w:bottom w:type="dxa" w:w="80"/>
              <w:right w:type="dxa" w:w="100"/>
            </w:tcMar>
          </w:tcPr>
          <w:p>
            <w:r>
              <w:rPr>
                <w:b w:val="false"/>
                <w:bCs w:val="false"/>
              </w:rPr>
              <w:t xml:space="preserve">Binary representation, number systems, why it matters to everyday tech</w:t>
            </w:r>
          </w:p>
        </w:tc>
        <w:tc>
          <w:tcPr>
            <w:tcW w:type="dxa" w:w="3300"/>
            <w:tcMar>
              <w:top w:type="dxa" w:w="80"/>
              <w:left w:type="dxa" w:w="100"/>
              <w:bottom w:type="dxa" w:w="80"/>
              <w:right w:type="dxa" w:w="100"/>
            </w:tcMar>
          </w:tcPr>
          <w:p>
            <w:r>
              <w:rPr>
                <w:b w:val="false"/>
                <w:bCs w:val="false"/>
              </w:rPr>
              <w:t xml:space="preserve">Binary worksheet + short reflection</w:t>
            </w:r>
          </w:p>
        </w:tc>
      </w:tr>
      <w:tr>
        <w:tc>
          <w:tcPr>
            <w:tcW w:type="dxa" w:w="700"/>
            <w:tcMar>
              <w:top w:type="dxa" w:w="80"/>
              <w:left w:type="dxa" w:w="100"/>
              <w:bottom w:type="dxa" w:w="80"/>
              <w:right w:type="dxa" w:w="100"/>
            </w:tcMar>
          </w:tcPr>
          <w:p>
            <w:r>
              <w:rPr>
                <w:b w:val="false"/>
                <w:bCs w:val="false"/>
              </w:rPr>
              <w:t xml:space="preserve">3</w:t>
            </w:r>
          </w:p>
        </w:tc>
        <w:tc>
          <w:tcPr>
            <w:tcW w:type="dxa" w:w="2600"/>
            <w:tcMar>
              <w:top w:type="dxa" w:w="80"/>
              <w:left w:type="dxa" w:w="100"/>
              <w:bottom w:type="dxa" w:w="80"/>
              <w:right w:type="dxa" w:w="100"/>
            </w:tcMar>
          </w:tcPr>
          <w:p>
            <w:r>
              <w:rPr>
                <w:b w:val="false"/>
                <w:bCs w:val="false"/>
              </w:rPr>
              <w:t xml:space="preserve">Networking &amp; the Internet</w:t>
            </w:r>
          </w:p>
        </w:tc>
        <w:tc>
          <w:tcPr>
            <w:tcW w:type="dxa" w:w="3480"/>
            <w:tcMar>
              <w:top w:type="dxa" w:w="80"/>
              <w:left w:type="dxa" w:w="100"/>
              <w:bottom w:type="dxa" w:w="80"/>
              <w:right w:type="dxa" w:w="100"/>
            </w:tcMar>
          </w:tcPr>
          <w:p>
            <w:r>
              <w:rPr>
                <w:b w:val="false"/>
                <w:bCs w:val="false"/>
              </w:rPr>
              <w:t xml:space="preserve">Hardware, topology, client-server model</w:t>
            </w:r>
          </w:p>
        </w:tc>
        <w:tc>
          <w:tcPr>
            <w:tcW w:type="dxa" w:w="3300"/>
            <w:tcMar>
              <w:top w:type="dxa" w:w="80"/>
              <w:left w:type="dxa" w:w="100"/>
              <w:bottom w:type="dxa" w:w="80"/>
              <w:right w:type="dxa" w:w="100"/>
            </w:tcMar>
          </w:tcPr>
          <w:p>
            <w:r>
              <w:rPr>
                <w:b w:val="false"/>
                <w:bCs w:val="false"/>
              </w:rPr>
              <w:t xml:space="preserve">Hand-drawn network map + reflection</w:t>
            </w:r>
          </w:p>
        </w:tc>
      </w:tr>
      <w:tr>
        <w:tc>
          <w:tcPr>
            <w:tcW w:type="dxa" w:w="700"/>
            <w:tcMar>
              <w:top w:type="dxa" w:w="80"/>
              <w:left w:type="dxa" w:w="100"/>
              <w:bottom w:type="dxa" w:w="80"/>
              <w:right w:type="dxa" w:w="100"/>
            </w:tcMar>
          </w:tcPr>
          <w:p>
            <w:r>
              <w:rPr>
                <w:b w:val="false"/>
                <w:bCs w:val="false"/>
              </w:rPr>
              <w:t xml:space="preserve">4</w:t>
            </w:r>
          </w:p>
        </w:tc>
        <w:tc>
          <w:tcPr>
            <w:tcW w:type="dxa" w:w="2600"/>
            <w:tcMar>
              <w:top w:type="dxa" w:w="80"/>
              <w:left w:type="dxa" w:w="100"/>
              <w:bottom w:type="dxa" w:w="80"/>
              <w:right w:type="dxa" w:w="100"/>
            </w:tcMar>
          </w:tcPr>
          <w:p>
            <w:r>
              <w:rPr>
                <w:b w:val="false"/>
                <w:bCs w:val="false"/>
              </w:rPr>
              <w:t xml:space="preserve">Digital Citizenship, AI Norms &amp; OS</w:t>
            </w:r>
          </w:p>
        </w:tc>
        <w:tc>
          <w:tcPr>
            <w:tcW w:type="dxa" w:w="3480"/>
            <w:tcMar>
              <w:top w:type="dxa" w:w="80"/>
              <w:left w:type="dxa" w:w="100"/>
              <w:bottom w:type="dxa" w:w="80"/>
              <w:right w:type="dxa" w:w="100"/>
            </w:tcMar>
          </w:tcPr>
          <w:p>
            <w:r>
              <w:rPr>
                <w:b w:val="false"/>
                <w:bCs w:val="false"/>
              </w:rPr>
              <w:t xml:space="preserve">Online identity, AI use norms, OS functions, wrap-up file/cloud management</w:t>
            </w:r>
          </w:p>
        </w:tc>
        <w:tc>
          <w:tcPr>
            <w:tcW w:type="dxa" w:w="3300"/>
            <w:tcMar>
              <w:top w:type="dxa" w:w="80"/>
              <w:left w:type="dxa" w:w="100"/>
              <w:bottom w:type="dxa" w:w="80"/>
              <w:right w:type="dxa" w:w="100"/>
            </w:tcMar>
          </w:tcPr>
          <w:p>
            <w:r>
              <w:rPr>
                <w:b w:val="false"/>
                <w:bCs w:val="false"/>
              </w:rPr>
              <w:t xml:space="preserve">Digital identity one-pager + AI Use Agreement + New Hire Packet submitted</w:t>
            </w:r>
          </w:p>
        </w:tc>
      </w:tr>
    </w:tbl>
    <w:p>
      <w:pPr>
        <w:spacing w:after="120"/>
      </w:pPr>
    </w:p>
    <w:p>
      <w:pPr>
        <w:spacing w:after="140"/>
      </w:pPr>
      <w:r>
        <w:t xml:space="preserve">Week 1 is largely logistics — it's the “setup class” you flagged, and lesson 1.1 already covers it well. Weeks 2–4 are where the actual onboarding content (binary, networking, citizenship/AI/OS) lives, building toward the packet.</w:t>
      </w:r>
    </w:p>
    <w:p>
      <w:pPr>
        <w:pStyle w:val="Heading1"/>
        <w:spacing w:after="160" w:before="320"/>
      </w:pPr>
      <w:r>
        <w:t xml:space="preserve">Assessment</w:t>
      </w:r>
    </w:p>
    <w:p>
      <w:pPr>
        <w:spacing w:after="140"/>
      </w:pPr>
      <w:r>
        <w:t xml:space="preserve">One rubric at the end of the unit, not daily marking — consistent with how the rest of the course runs. Students self-assess against the checklist first; you moderate.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1870"/>
        <w:gridCol w:w="1870"/>
        <w:gridCol w:w="1870"/>
        <w:gridCol w:w="1870"/>
      </w:tblGrid>
      <w:tr>
        <w:trPr>
          <w:tblHeader/>
        </w:trPr>
        <w:tc>
          <w:tcPr>
            <w:tcW w:type="dxa" w:w="2600"/>
            <w:shd w:fill="D9D9D9" w:color="auto" w:val="clear"/>
            <w:tcMar>
              <w:top w:type="dxa" w:w="80"/>
              <w:left w:type="dxa" w:w="100"/>
              <w:bottom w:type="dxa" w:w="80"/>
              <w:right w:type="dxa" w:w="100"/>
            </w:tcMar>
          </w:tcPr>
          <w:p>
            <w:r>
              <w:rPr>
                <w:b/>
                <w:bCs/>
              </w:rPr>
              <w:t xml:space="preserve">Criteria</w:t>
            </w:r>
          </w:p>
        </w:tc>
        <w:tc>
          <w:tcPr>
            <w:tcW w:type="dxa" w:w="1870"/>
            <w:shd w:fill="D9D9D9" w:color="auto" w:val="clear"/>
            <w:tcMar>
              <w:top w:type="dxa" w:w="80"/>
              <w:left w:type="dxa" w:w="100"/>
              <w:bottom w:type="dxa" w:w="80"/>
              <w:right w:type="dxa" w:w="100"/>
            </w:tcMar>
          </w:tcPr>
          <w:p>
            <w:r>
              <w:rPr>
                <w:b/>
                <w:bCs/>
              </w:rPr>
              <w:t xml:space="preserve">Emerging</w:t>
            </w:r>
          </w:p>
        </w:tc>
        <w:tc>
          <w:tcPr>
            <w:tcW w:type="dxa" w:w="1870"/>
            <w:shd w:fill="D9D9D9" w:color="auto" w:val="clear"/>
            <w:tcMar>
              <w:top w:type="dxa" w:w="80"/>
              <w:left w:type="dxa" w:w="100"/>
              <w:bottom w:type="dxa" w:w="80"/>
              <w:right w:type="dxa" w:w="100"/>
            </w:tcMar>
          </w:tcPr>
          <w:p>
            <w:r>
              <w:rPr>
                <w:b/>
                <w:bCs/>
              </w:rPr>
              <w:t xml:space="preserve">Developing</w:t>
            </w:r>
          </w:p>
        </w:tc>
        <w:tc>
          <w:tcPr>
            <w:tcW w:type="dxa" w:w="1870"/>
            <w:shd w:fill="D9D9D9" w:color="auto" w:val="clear"/>
            <w:tcMar>
              <w:top w:type="dxa" w:w="80"/>
              <w:left w:type="dxa" w:w="100"/>
              <w:bottom w:type="dxa" w:w="80"/>
              <w:right w:type="dxa" w:w="100"/>
            </w:tcMar>
          </w:tcPr>
          <w:p>
            <w:r>
              <w:rPr>
                <w:b/>
                <w:bCs/>
              </w:rPr>
              <w:t xml:space="preserve">Proficient</w:t>
            </w:r>
          </w:p>
        </w:tc>
        <w:tc>
          <w:tcPr>
            <w:tcW w:type="dxa" w:w="1870"/>
            <w:shd w:fill="D9D9D9" w:color="auto" w:val="clear"/>
            <w:tcMar>
              <w:top w:type="dxa" w:w="80"/>
              <w:left w:type="dxa" w:w="100"/>
              <w:bottom w:type="dxa" w:w="80"/>
              <w:right w:type="dxa" w:w="100"/>
            </w:tcMar>
          </w:tcPr>
          <w:p>
            <w:r>
              <w:rPr>
                <w:b/>
                <w:bCs/>
              </w:rPr>
              <w:t xml:space="preserve">Extending</w:t>
            </w:r>
          </w:p>
        </w:tc>
      </w:tr>
      <w:tr>
        <w:tc>
          <w:tcPr>
            <w:tcW w:type="dxa" w:w="2600"/>
            <w:tcMar>
              <w:top w:type="dxa" w:w="80"/>
              <w:left w:type="dxa" w:w="100"/>
              <w:bottom w:type="dxa" w:w="80"/>
              <w:right w:type="dxa" w:w="100"/>
            </w:tcMar>
          </w:tcPr>
          <w:p>
            <w:r>
              <w:rPr>
                <w:b w:val="false"/>
                <w:bCs w:val="false"/>
              </w:rPr>
              <w:t xml:space="preserve">Technical literacy (binary, networking, OS)</w:t>
            </w:r>
          </w:p>
        </w:tc>
        <w:tc>
          <w:tcPr>
            <w:tcW w:type="dxa" w:w="1870"/>
            <w:tcMar>
              <w:top w:type="dxa" w:w="80"/>
              <w:left w:type="dxa" w:w="100"/>
              <w:bottom w:type="dxa" w:w="80"/>
              <w:right w:type="dxa" w:w="100"/>
            </w:tcMar>
          </w:tcPr>
          <w:p>
            <w:r>
              <w:rPr>
                <w:b w:val="false"/>
                <w:bCs w:val="false"/>
              </w:rPr>
              <w:t xml:space="preserve">Limited understanding; worksheet/map incomplete or unclear.</w:t>
            </w:r>
          </w:p>
        </w:tc>
        <w:tc>
          <w:tcPr>
            <w:tcW w:type="dxa" w:w="1870"/>
            <w:tcMar>
              <w:top w:type="dxa" w:w="80"/>
              <w:left w:type="dxa" w:w="100"/>
              <w:bottom w:type="dxa" w:w="80"/>
              <w:right w:type="dxa" w:w="100"/>
            </w:tcMar>
          </w:tcPr>
          <w:p>
            <w:r>
              <w:rPr>
                <w:b w:val="false"/>
                <w:bCs w:val="false"/>
              </w:rPr>
              <w:t xml:space="preserve">Partial understanding; some gaps in explanation.</w:t>
            </w:r>
          </w:p>
        </w:tc>
        <w:tc>
          <w:tcPr>
            <w:tcW w:type="dxa" w:w="1870"/>
            <w:tcMar>
              <w:top w:type="dxa" w:w="80"/>
              <w:left w:type="dxa" w:w="100"/>
              <w:bottom w:type="dxa" w:w="80"/>
              <w:right w:type="dxa" w:w="100"/>
            </w:tcMar>
          </w:tcPr>
          <w:p>
            <w:r>
              <w:rPr>
                <w:b w:val="false"/>
                <w:bCs w:val="false"/>
              </w:rPr>
              <w:t xml:space="preserve">Clear, accurate explanation of how the concepts work.</w:t>
            </w:r>
          </w:p>
        </w:tc>
        <w:tc>
          <w:tcPr>
            <w:tcW w:type="dxa" w:w="1870"/>
            <w:tcMar>
              <w:top w:type="dxa" w:w="80"/>
              <w:left w:type="dxa" w:w="100"/>
              <w:bottom w:type="dxa" w:w="80"/>
              <w:right w:type="dxa" w:w="100"/>
            </w:tcMar>
          </w:tcPr>
          <w:p>
            <w:r>
              <w:rPr>
                <w:b w:val="false"/>
                <w:bCs w:val="false"/>
              </w:rPr>
              <w:t xml:space="preserve">Connects concepts to real examples beyond what was taught.</w:t>
            </w:r>
          </w:p>
        </w:tc>
      </w:tr>
      <w:tr>
        <w:tc>
          <w:tcPr>
            <w:tcW w:type="dxa" w:w="2600"/>
            <w:tcMar>
              <w:top w:type="dxa" w:w="80"/>
              <w:left w:type="dxa" w:w="100"/>
              <w:bottom w:type="dxa" w:w="80"/>
              <w:right w:type="dxa" w:w="100"/>
            </w:tcMar>
          </w:tcPr>
          <w:p>
            <w:r>
              <w:rPr>
                <w:b w:val="false"/>
                <w:bCs w:val="false"/>
              </w:rPr>
              <w:t xml:space="preserve">Digital citizenship &amp; AI norms</w:t>
            </w:r>
          </w:p>
        </w:tc>
        <w:tc>
          <w:tcPr>
            <w:tcW w:type="dxa" w:w="1870"/>
            <w:tcMar>
              <w:top w:type="dxa" w:w="80"/>
              <w:left w:type="dxa" w:w="100"/>
              <w:bottom w:type="dxa" w:w="80"/>
              <w:right w:type="dxa" w:w="100"/>
            </w:tcMar>
          </w:tcPr>
          <w:p>
            <w:r>
              <w:rPr>
                <w:b w:val="false"/>
                <w:bCs w:val="false"/>
              </w:rPr>
              <w:t xml:space="preserve">Minimal engagement with AUA/AI norms.</w:t>
            </w:r>
          </w:p>
        </w:tc>
        <w:tc>
          <w:tcPr>
            <w:tcW w:type="dxa" w:w="1870"/>
            <w:tcMar>
              <w:top w:type="dxa" w:w="80"/>
              <w:left w:type="dxa" w:w="100"/>
              <w:bottom w:type="dxa" w:w="80"/>
              <w:right w:type="dxa" w:w="100"/>
            </w:tcMar>
          </w:tcPr>
          <w:p>
            <w:r>
              <w:rPr>
                <w:b w:val="false"/>
                <w:bCs w:val="false"/>
              </w:rPr>
              <w:t xml:space="preserve">Basic compliance; limited reflection.</w:t>
            </w:r>
          </w:p>
        </w:tc>
        <w:tc>
          <w:tcPr>
            <w:tcW w:type="dxa" w:w="1870"/>
            <w:tcMar>
              <w:top w:type="dxa" w:w="80"/>
              <w:left w:type="dxa" w:w="100"/>
              <w:bottom w:type="dxa" w:w="80"/>
              <w:right w:type="dxa" w:w="100"/>
            </w:tcMar>
          </w:tcPr>
          <w:p>
            <w:r>
              <w:rPr>
                <w:b w:val="false"/>
                <w:bCs w:val="false"/>
              </w:rPr>
              <w:t xml:space="preserve">Thoughtful, specific reflection on responsible use.</w:t>
            </w:r>
          </w:p>
        </w:tc>
        <w:tc>
          <w:tcPr>
            <w:tcW w:type="dxa" w:w="1870"/>
            <w:tcMar>
              <w:top w:type="dxa" w:w="80"/>
              <w:left w:type="dxa" w:w="100"/>
              <w:bottom w:type="dxa" w:w="80"/>
              <w:right w:type="dxa" w:w="100"/>
            </w:tcMar>
          </w:tcPr>
          <w:p>
            <w:r>
              <w:rPr>
                <w:b w:val="false"/>
                <w:bCs w:val="false"/>
              </w:rPr>
              <w:t xml:space="preserve">Identifies nuanced ethical considerations unprompted.</w:t>
            </w:r>
          </w:p>
        </w:tc>
      </w:tr>
      <w:tr>
        <w:tc>
          <w:tcPr>
            <w:tcW w:type="dxa" w:w="2600"/>
            <w:tcMar>
              <w:top w:type="dxa" w:w="80"/>
              <w:left w:type="dxa" w:w="100"/>
              <w:bottom w:type="dxa" w:w="80"/>
              <w:right w:type="dxa" w:w="100"/>
            </w:tcMar>
          </w:tcPr>
          <w:p>
            <w:r>
              <w:rPr>
                <w:b w:val="false"/>
                <w:bCs w:val="false"/>
              </w:rPr>
              <w:t xml:space="preserve">Organization &amp; habits</w:t>
            </w:r>
          </w:p>
        </w:tc>
        <w:tc>
          <w:tcPr>
            <w:tcW w:type="dxa" w:w="1870"/>
            <w:tcMar>
              <w:top w:type="dxa" w:w="80"/>
              <w:left w:type="dxa" w:w="100"/>
              <w:bottom w:type="dxa" w:w="80"/>
              <w:right w:type="dxa" w:w="100"/>
            </w:tcMar>
          </w:tcPr>
          <w:p>
            <w:r>
              <w:rPr>
                <w:b w:val="false"/>
                <w:bCs w:val="false"/>
              </w:rPr>
              <w:t xml:space="preserve">Folder/files disorganized; typing routine inconsistent.</w:t>
            </w:r>
          </w:p>
        </w:tc>
        <w:tc>
          <w:tcPr>
            <w:tcW w:type="dxa" w:w="1870"/>
            <w:tcMar>
              <w:top w:type="dxa" w:w="80"/>
              <w:left w:type="dxa" w:w="100"/>
              <w:bottom w:type="dxa" w:w="80"/>
              <w:right w:type="dxa" w:w="100"/>
            </w:tcMar>
          </w:tcPr>
          <w:p>
            <w:r>
              <w:rPr>
                <w:b w:val="false"/>
                <w:bCs w:val="false"/>
              </w:rPr>
              <w:t xml:space="preserve">Mostly organized; typing practice inconsistent.</w:t>
            </w:r>
          </w:p>
        </w:tc>
        <w:tc>
          <w:tcPr>
            <w:tcW w:type="dxa" w:w="1870"/>
            <w:tcMar>
              <w:top w:type="dxa" w:w="80"/>
              <w:left w:type="dxa" w:w="100"/>
              <w:bottom w:type="dxa" w:w="80"/>
              <w:right w:type="dxa" w:w="100"/>
            </w:tcMar>
          </w:tcPr>
          <w:p>
            <w:r>
              <w:rPr>
                <w:b w:val="false"/>
                <w:bCs w:val="false"/>
              </w:rPr>
              <w:t xml:space="preserve">Consistently organized; steady typing improvement.</w:t>
            </w:r>
          </w:p>
        </w:tc>
        <w:tc>
          <w:tcPr>
            <w:tcW w:type="dxa" w:w="1870"/>
            <w:tcMar>
              <w:top w:type="dxa" w:w="80"/>
              <w:left w:type="dxa" w:w="100"/>
              <w:bottom w:type="dxa" w:w="80"/>
              <w:right w:type="dxa" w:w="100"/>
            </w:tcMar>
          </w:tcPr>
          <w:p>
            <w:r>
              <w:rPr>
                <w:b w:val="false"/>
                <w:bCs w:val="false"/>
              </w:rPr>
              <w:t xml:space="preserve">Systems clearly built to last the whole semester.</w:t>
            </w:r>
          </w:p>
        </w:tc>
      </w:tr>
    </w:tbl>
    <w:p>
      <w:pPr>
        <w:spacing w:after="120"/>
      </w:pPr>
    </w:p>
    <w:p>
      <w:pPr>
        <w:pStyle w:val="Heading1"/>
        <w:spacing w:after="160" w:before="320"/>
      </w:pPr>
      <w:r>
        <w:t xml:space="preserve">Tools &amp; Resources</w:t>
      </w:r>
    </w:p>
    <w:p>
      <w:pPr>
        <w:pStyle w:val="ListParagraph"/>
        <w:numPr>
          <w:ilvl w:val="0"/>
          <w:numId w:val="2"/>
        </w:numPr>
        <w:spacing w:after="80"/>
      </w:pPr>
      <w:r>
        <w:t xml:space="preserve">MS Teams — submissions</w:t>
      </w:r>
    </w:p>
    <w:p>
      <w:pPr>
        <w:pStyle w:val="ListParagraph"/>
        <w:numPr>
          <w:ilvl w:val="0"/>
          <w:numId w:val="2"/>
        </w:numPr>
        <w:spacing w:after="80"/>
      </w:pPr>
      <w:r>
        <w:t xml:space="preserve">OneDrive / H: drive — file organization</w:t>
      </w:r>
    </w:p>
    <w:p>
      <w:pPr>
        <w:pStyle w:val="ListParagraph"/>
        <w:numPr>
          <w:ilvl w:val="0"/>
          <w:numId w:val="2"/>
        </w:numPr>
        <w:spacing w:after="80"/>
      </w:pPr>
      <w:r>
        <w:t xml:space="preserve">Typing Club — daily warm-up</w:t>
      </w:r>
    </w:p>
    <w:p>
      <w:pPr>
        <w:pStyle w:val="ListParagraph"/>
        <w:numPr>
          <w:ilvl w:val="0"/>
          <w:numId w:val="2"/>
        </w:numPr>
        <w:spacing w:after="80"/>
      </w:pPr>
      <w:r>
        <w:t xml:space="preserve">Existing Acceptable Use Agreement + Course Outline PDFs</w:t>
      </w:r>
    </w:p>
    <w:p>
      <w:pPr>
        <w:pStyle w:val="Heading1"/>
        <w:spacing w:after="160" w:before="320"/>
      </w:pPr>
      <w:r>
        <w:t xml:space="preserve">Next Steps</w:t>
      </w:r>
    </w:p>
    <w:p>
      <w:pPr>
        <w:spacing w:after="140"/>
      </w:pPr>
      <w:r>
        <w:t xml:space="preserve">If this shape works, next I'd draft the actual lesson content for Weeks 2–4 (binary, networking, citizenship/AI/OS) — Week 1 stays as-is since lesson 1.1 already covers it.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2026-07-22T19:02:52.937Z</dcterms:created>
  <dcterms:modified xsi:type="dcterms:W3CDTF">2026-07-22T19:02:52.937Z</dcterms:modified>
</cp:coreProperties>
</file>

<file path=docProps/custom.xml><?xml version="1.0" encoding="utf-8"?>
<Properties xmlns="http://schemas.openxmlformats.org/officeDocument/2006/custom-properties" xmlns:vt="http://schemas.openxmlformats.org/officeDocument/2006/docPropsVTypes"/>
</file>