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Кондрашова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Развить навыки администрирования ОС Linux. Получить первое практическое знакомство с технологией SELinux1</w:t>
      </w:r>
    </w:p>
    <w:p>
      <w:pPr>
        <w:numPr>
          <w:ilvl w:val="0"/>
          <w:numId w:val="1001"/>
        </w:numPr>
        <w:pStyle w:val="Compact"/>
      </w:pPr>
      <w:r>
        <w:t xml:space="preserve">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getenforce убеждаемся, что SELinux работает в режиме enforcing, а с помощью комнды sestatus устанавливаем политику targeted</w:t>
      </w:r>
    </w:p>
    <w:p>
      <w:pPr>
        <w:pStyle w:val="CaptionedFigure"/>
      </w:pPr>
      <w:bookmarkStart w:id="24" w:name="fig:001"/>
      <w:r>
        <w:drawing>
          <wp:inline>
            <wp:extent cx="5334000" cy="2562597"/>
            <wp:effectExtent b="0" l="0" r="0" t="0"/>
            <wp:docPr descr="Рис. 1: Getenforce и sestatu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Getenforce и sestatus</w:t>
      </w:r>
    </w:p>
    <w:p>
      <w:pPr>
        <w:numPr>
          <w:ilvl w:val="0"/>
          <w:numId w:val="1003"/>
        </w:numPr>
        <w:pStyle w:val="Compact"/>
      </w:pPr>
      <w:r>
        <w:t xml:space="preserve">Убеждаемся, что сервер работает с помощью команды service httpd status</w:t>
      </w:r>
    </w:p>
    <w:p>
      <w:pPr>
        <w:pStyle w:val="CaptionedFigure"/>
      </w:pPr>
      <w:bookmarkStart w:id="28" w:name="fig:002"/>
      <w:r>
        <w:drawing>
          <wp:inline>
            <wp:extent cx="5334000" cy="2720964"/>
            <wp:effectExtent b="0" l="0" r="0" t="0"/>
            <wp:docPr descr="Рис. 2: Работа сервер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Работа сервера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ps -eZ находим, что контекст безопасности Apache - httpd_t</w:t>
      </w:r>
    </w:p>
    <w:p>
      <w:pPr>
        <w:pStyle w:val="CaptionedFigure"/>
      </w:pPr>
      <w:bookmarkStart w:id="32" w:name="fig:003"/>
      <w:r>
        <w:drawing>
          <wp:inline>
            <wp:extent cx="5334000" cy="1042181"/>
            <wp:effectExtent b="0" l="0" r="0" t="0"/>
            <wp:docPr descr="Рис. 3: Контекст безопасности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2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Контекст безопасности</w:t>
      </w:r>
    </w:p>
    <w:p>
      <w:pPr>
        <w:numPr>
          <w:ilvl w:val="0"/>
          <w:numId w:val="1005"/>
        </w:numPr>
        <w:pStyle w:val="Compact"/>
      </w:pPr>
      <w:r>
        <w:t xml:space="preserve">Смотрим текущее состояние переключателей командой sestatus -b httpd</w:t>
      </w:r>
    </w:p>
    <w:p>
      <w:pPr>
        <w:pStyle w:val="CaptionedFigure"/>
      </w:pPr>
      <w:bookmarkStart w:id="36" w:name="fig:004"/>
      <w:r>
        <w:drawing>
          <wp:inline>
            <wp:extent cx="5334000" cy="3255579"/>
            <wp:effectExtent b="0" l="0" r="0" t="0"/>
            <wp:docPr descr="Рис. 4: Текущее состояние переключателей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Текущее состояние переключателей</w:t>
      </w:r>
    </w:p>
    <w:p>
      <w:pPr>
        <w:numPr>
          <w:ilvl w:val="0"/>
          <w:numId w:val="1006"/>
        </w:numPr>
        <w:pStyle w:val="Compact"/>
      </w:pPr>
      <w:r>
        <w:t xml:space="preserve">Смотрим статистику по политике командой seinfo. Узнаём, что множество пользователей — 8, ролей — 14, типов — 5002</w:t>
      </w:r>
    </w:p>
    <w:p>
      <w:pPr>
        <w:pStyle w:val="CaptionedFigure"/>
      </w:pPr>
      <w:bookmarkStart w:id="40" w:name="fig:005"/>
      <w:r>
        <w:drawing>
          <wp:inline>
            <wp:extent cx="5334000" cy="4822010"/>
            <wp:effectExtent b="0" l="0" r="0" t="0"/>
            <wp:docPr descr="Рис. 5: Статистика по политик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2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Статистика по политике</w:t>
      </w:r>
    </w:p>
    <w:p>
      <w:pPr>
        <w:numPr>
          <w:ilvl w:val="0"/>
          <w:numId w:val="1007"/>
        </w:numPr>
        <w:pStyle w:val="Compact"/>
      </w:pPr>
      <w:r>
        <w:t xml:space="preserve">Определяем тип файлов и круг пользователей с правой на создание и поддиректорий в директориях /var/www и /var/www/html командой ls -lZ</w:t>
      </w:r>
    </w:p>
    <w:p>
      <w:pPr>
        <w:pStyle w:val="CaptionedFigure"/>
      </w:pPr>
      <w:bookmarkStart w:id="44" w:name="fig:006"/>
      <w:r>
        <w:drawing>
          <wp:inline>
            <wp:extent cx="5334000" cy="1428351"/>
            <wp:effectExtent b="0" l="0" r="0" t="0"/>
            <wp:docPr descr="Рис. 6: тип файлов и круг пользователей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тип файлов и круг пользователей</w:t>
      </w:r>
    </w:p>
    <w:p>
      <w:pPr>
        <w:numPr>
          <w:ilvl w:val="0"/>
          <w:numId w:val="1008"/>
        </w:numPr>
        <w:pStyle w:val="Compact"/>
      </w:pPr>
      <w:r>
        <w:t xml:space="preserve">От имени суперпользователя создаём файл /var/www/html/test.html</w:t>
      </w:r>
    </w:p>
    <w:p>
      <w:pPr>
        <w:pStyle w:val="CaptionedFigure"/>
      </w:pPr>
      <w:bookmarkStart w:id="48" w:name="fig:007"/>
      <w:r>
        <w:drawing>
          <wp:inline>
            <wp:extent cx="5334000" cy="1378357"/>
            <wp:effectExtent b="0" l="0" r="0" t="0"/>
            <wp:docPr descr="Рис. 7: Создание файла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Создание файла</w:t>
      </w:r>
    </w:p>
    <w:p>
      <w:pPr>
        <w:numPr>
          <w:ilvl w:val="0"/>
          <w:numId w:val="1009"/>
        </w:numPr>
        <w:pStyle w:val="Compact"/>
      </w:pPr>
      <w:r>
        <w:t xml:space="preserve">Командой matchpathcon узнаём контекст файла test.html и директории /var/www/html — это httpd_sys_content_t.</w:t>
      </w:r>
    </w:p>
    <w:p>
      <w:pPr>
        <w:pStyle w:val="CaptionedFigure"/>
      </w:pPr>
      <w:bookmarkStart w:id="52" w:name="fig:008"/>
      <w:r>
        <w:drawing>
          <wp:inline>
            <wp:extent cx="5334000" cy="991673"/>
            <wp:effectExtent b="0" l="0" r="0" t="0"/>
            <wp:docPr descr="Рис. 8: Констекст файла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Констекст файла</w:t>
      </w:r>
    </w:p>
    <w:p>
      <w:pPr>
        <w:numPr>
          <w:ilvl w:val="0"/>
          <w:numId w:val="1010"/>
        </w:numPr>
        <w:pStyle w:val="Compact"/>
      </w:pPr>
      <w:r>
        <w:t xml:space="preserve">Обращаемся к файлу через ссылку в веб-браузере. Контент отображён корректно.</w:t>
      </w:r>
    </w:p>
    <w:p>
      <w:pPr>
        <w:pStyle w:val="CaptionedFigure"/>
      </w:pPr>
      <w:bookmarkStart w:id="56" w:name="fig:009"/>
      <w:r>
        <w:drawing>
          <wp:inline>
            <wp:extent cx="5334000" cy="1163507"/>
            <wp:effectExtent b="0" l="0" r="0" t="0"/>
            <wp:docPr descr="Рис. 9: Корректное отображение контент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Корректное отображение контента</w:t>
      </w:r>
    </w:p>
    <w:p>
      <w:pPr>
        <w:numPr>
          <w:ilvl w:val="0"/>
          <w:numId w:val="1011"/>
        </w:numPr>
        <w:pStyle w:val="Compact"/>
      </w:pPr>
      <w:r>
        <w:t xml:space="preserve">Изучая справку man httpd_selunix узнаём, что для httpd определены следующие контексты: httpd_sys_content_t, httpd_sys_script_exec_t, httpd_sys_script_ro_t, httpd_sys_script_rw_t, httpd_sys_script_ra_t, httpd_unconfined_script_exec_t. Меняем контекст файла test.html командой chcon -t.</w:t>
      </w:r>
    </w:p>
    <w:p>
      <w:pPr>
        <w:pStyle w:val="CaptionedFigure"/>
      </w:pPr>
      <w:bookmarkStart w:id="60" w:name="fig:010"/>
      <w:r>
        <w:drawing>
          <wp:inline>
            <wp:extent cx="5334000" cy="745540"/>
            <wp:effectExtent b="0" l="0" r="0" t="0"/>
            <wp:docPr descr="Рис. 10: Смена контекст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5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Смена контекста</w:t>
      </w:r>
    </w:p>
    <w:p>
      <w:pPr>
        <w:numPr>
          <w:ilvl w:val="0"/>
          <w:numId w:val="1012"/>
        </w:numPr>
        <w:pStyle w:val="Compact"/>
      </w:pPr>
      <w:r>
        <w:t xml:space="preserve">При повторной попытке открыть файл через веб-браузер получаем ошибку доступа.</w:t>
      </w:r>
    </w:p>
    <w:p>
      <w:pPr>
        <w:pStyle w:val="CaptionedFigure"/>
      </w:pPr>
      <w:bookmarkStart w:id="64" w:name="fig:011"/>
      <w:r>
        <w:drawing>
          <wp:inline>
            <wp:extent cx="5334000" cy="1385454"/>
            <wp:effectExtent b="0" l="0" r="0" t="0"/>
            <wp:docPr descr="Рис. 11: Ошибка доступ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Ошибка доступа</w:t>
      </w:r>
    </w:p>
    <w:p>
      <w:pPr>
        <w:numPr>
          <w:ilvl w:val="0"/>
          <w:numId w:val="1013"/>
        </w:numPr>
        <w:pStyle w:val="Compact"/>
      </w:pPr>
      <w:r>
        <w:t xml:space="preserve">Убеждаемся, что файл доступен для чтения всем пользователям командой ls -l. Далее смотрим log-файлы веб-сервера Apache командой tail, где показаны ошибки.</w:t>
      </w:r>
    </w:p>
    <w:p>
      <w:pPr>
        <w:pStyle w:val="CaptionedFigure"/>
      </w:pPr>
      <w:bookmarkStart w:id="68" w:name="fig:012"/>
      <w:r>
        <w:drawing>
          <wp:inline>
            <wp:extent cx="5334000" cy="1740721"/>
            <wp:effectExtent b="0" l="0" r="0" t="0"/>
            <wp:docPr descr="Рис. 12: Просмотр логов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Просмотр логов</w:t>
      </w:r>
    </w:p>
    <w:p>
      <w:pPr>
        <w:numPr>
          <w:ilvl w:val="0"/>
          <w:numId w:val="1014"/>
        </w:numPr>
        <w:pStyle w:val="Compact"/>
      </w:pPr>
      <w:r>
        <w:t xml:space="preserve">Устанавливаем веб-сервер Apache на прослушивание TCP-порта 81, изменяя строку Listen в файле /etc/httpd/conf/httpd.conf.</w:t>
      </w:r>
    </w:p>
    <w:p>
      <w:pPr>
        <w:pStyle w:val="CaptionedFigure"/>
      </w:pPr>
      <w:bookmarkStart w:id="72" w:name="fig:013"/>
      <w:r>
        <w:drawing>
          <wp:inline>
            <wp:extent cx="5334000" cy="3798234"/>
            <wp:effectExtent b="0" l="0" r="0" t="0"/>
            <wp:docPr descr="Рис. 13: Прослушивание 81 порт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Прослушивание 81 порта</w:t>
      </w:r>
    </w:p>
    <w:p>
      <w:pPr>
        <w:numPr>
          <w:ilvl w:val="0"/>
          <w:numId w:val="1015"/>
        </w:numPr>
        <w:pStyle w:val="Compact"/>
      </w:pPr>
      <w:r>
        <w:t xml:space="preserve">Перезапускаем сервер и смотри данные log-файлов веб-сервера Apache.</w:t>
      </w:r>
    </w:p>
    <w:p>
      <w:pPr>
        <w:pStyle w:val="CaptionedFigure"/>
      </w:pPr>
      <w:bookmarkStart w:id="76" w:name="fig:014"/>
      <w:r>
        <w:drawing>
          <wp:inline>
            <wp:extent cx="5334000" cy="773952"/>
            <wp:effectExtent b="0" l="0" r="0" t="0"/>
            <wp:docPr descr="Рис. 14: Перезапуск серве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Перезапуск сервера</w:t>
      </w:r>
    </w:p>
    <w:p>
      <w:pPr>
        <w:numPr>
          <w:ilvl w:val="0"/>
          <w:numId w:val="1016"/>
        </w:numPr>
        <w:pStyle w:val="Compact"/>
      </w:pPr>
      <w:r>
        <w:t xml:space="preserve">Устанавлием для веб-сервера Apache порт TCP-81 и проверяем его наличие в списке портов командой semanage.</w:t>
      </w:r>
    </w:p>
    <w:p>
      <w:pPr>
        <w:pStyle w:val="CaptionedFigure"/>
      </w:pPr>
      <w:bookmarkStart w:id="80" w:name="fig:015"/>
      <w:r>
        <w:drawing>
          <wp:inline>
            <wp:extent cx="5334000" cy="1983561"/>
            <wp:effectExtent b="0" l="0" r="0" t="0"/>
            <wp:docPr descr="Рис. 15: Установка порта 81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Установка порта 81</w:t>
      </w:r>
    </w:p>
    <w:p>
      <w:pPr>
        <w:numPr>
          <w:ilvl w:val="0"/>
          <w:numId w:val="1017"/>
        </w:numPr>
        <w:pStyle w:val="Compact"/>
      </w:pPr>
      <w:r>
        <w:t xml:space="preserve">Возвращаем файлу test.html контекст httpd_sys_content_t и снова успешно просматриваем страницу в веб-браузере.</w:t>
      </w:r>
    </w:p>
    <w:p>
      <w:pPr>
        <w:pStyle w:val="CaptionedFigure"/>
      </w:pPr>
      <w:bookmarkStart w:id="84" w:name="fig:016"/>
      <w:r>
        <w:drawing>
          <wp:inline>
            <wp:extent cx="5334000" cy="179079"/>
            <wp:effectExtent b="0" l="0" r="0" t="0"/>
            <wp:docPr descr="Рис. 16: Смена контекста 2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Смена контекста 2</w:t>
      </w:r>
    </w:p>
    <w:p>
      <w:pPr>
        <w:numPr>
          <w:ilvl w:val="0"/>
          <w:numId w:val="1018"/>
        </w:numPr>
        <w:pStyle w:val="Compact"/>
      </w:pPr>
      <w:r>
        <w:t xml:space="preserve">Возвращаем в конфигурационный файл прослушивание порта 80 и удаляем порт 81 из списка портов.</w:t>
      </w:r>
    </w:p>
    <w:p>
      <w:pPr>
        <w:pStyle w:val="CaptionedFigure"/>
      </w:pPr>
      <w:bookmarkStart w:id="88" w:name="fig:017"/>
      <w:r>
        <w:drawing>
          <wp:inline>
            <wp:extent cx="5334000" cy="1052383"/>
            <wp:effectExtent b="0" l="0" r="0" t="0"/>
            <wp:docPr descr="Рис. 17: Удаление 81 порта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Удаление 81 порта</w:t>
      </w:r>
    </w:p>
    <w:p>
      <w:pPr>
        <w:numPr>
          <w:ilvl w:val="0"/>
          <w:numId w:val="1019"/>
        </w:numPr>
        <w:pStyle w:val="Compact"/>
      </w:pPr>
      <w:r>
        <w:t xml:space="preserve">Удаляем файл test.html.</w:t>
      </w:r>
    </w:p>
    <w:p>
      <w:pPr>
        <w:pStyle w:val="CaptionedFigure"/>
      </w:pPr>
      <w:bookmarkStart w:id="92" w:name="fig:018"/>
      <w:r>
        <w:drawing>
          <wp:inline>
            <wp:extent cx="5334000" cy="558491"/>
            <wp:effectExtent b="0" l="0" r="0" t="0"/>
            <wp:docPr descr="Рис. 18: Удаление файл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Удаление файла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получила основные навыки администрирования в OC Linux и проверила работу SELinux на практике совместно с веб-сервером Apache.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9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Кондрашова Анастасия Андреевна</dc:creator>
  <dc:language>ru-RU</dc:language>
  <cp:keywords/>
  <dcterms:created xsi:type="dcterms:W3CDTF">2022-10-15T13:54:22Z</dcterms:created>
  <dcterms:modified xsi:type="dcterms:W3CDTF">2022-10-15T13:54:22Z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