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pPr>
      <w:r>
        <w:rPr>
          <w:b/>
        </w:rPr>
        <w:t>Zhongliang Ma</w:t>
      </w:r>
    </w:p>
    <w:p>
      <w:pPr>
        <w:spacing w:after="0" w:line="276" w:lineRule="auto"/>
      </w:pPr>
      <w:r>
        <w:rPr/>
        <w:t>Lab of ncRNA and Cancer, School of Life Sciences</w:t>
      </w:r>
    </w:p>
    <w:p>
      <w:pPr>
        <w:spacing w:after="0" w:line="276" w:lineRule="auto"/>
      </w:pPr>
      <w:r>
        <w:rPr/>
        <w:t>Shanghai University, 99 Shangda Road, Baoshan District</w:t>
      </w:r>
    </w:p>
    <w:p>
      <w:pPr>
        <w:spacing w:after="0" w:line="276" w:lineRule="auto"/>
      </w:pPr>
      <w:r>
        <w:rPr/>
        <w:t>Shanghai 200444, China</w:t>
      </w:r>
    </w:p>
    <w:p>
      <w:pPr>
        <w:spacing w:after="0" w:line="276" w:lineRule="auto"/>
      </w:pPr>
      <w:r>
        <w:rPr/>
        <w:t>E-mail: zlma@shu.edu.cn</w:t>
      </w:r>
    </w:p>
    <w:p>
      <w:pPr>
        <w:spacing w:after="120" w:line="276" w:lineRule="auto"/>
      </w:pPr>
      <w:r>
        <w:rPr/>
      </w:r>
    </w:p>
    <w:p>
      <w:pPr>
        <w:spacing w:after="240" w:line="276" w:lineRule="auto"/>
      </w:pPr>
      <w:r>
        <w:rPr/>
        <w:t>26 October 2026</w:t>
      </w:r>
    </w:p>
    <w:p>
      <w:pPr>
        <w:spacing w:after="0" w:line="276" w:lineRule="auto"/>
      </w:pPr>
      <w:r>
        <w:rPr/>
        <w:t>The Editors</w:t>
      </w:r>
    </w:p>
    <w:p>
      <w:pPr>
        <w:spacing w:after="240" w:line="276" w:lineRule="auto"/>
      </w:pPr>
      <w:r>
        <w:rPr>
          <w:i/>
        </w:rPr>
        <w:t>Computational Biology and Chemistry</w:t>
      </w:r>
    </w:p>
    <w:p>
      <w:pPr>
        <w:spacing w:after="200" w:line="276" w:lineRule="auto"/>
      </w:pPr>
      <w:r>
        <w:rPr/>
        <w:t>Dear Editors,</w:t>
      </w:r>
    </w:p>
    <w:p>
      <w:pPr>
        <w:spacing w:after="160" w:line="240" w:lineRule="auto"/>
      </w:pPr>
      <w:r>
        <w:rPr/>
        <w:t>We submit the manuscript “</w:t>
      </w:r>
      <w:r>
        <w:rPr/>
        <w:t>Published lncRNA prognostic signatures for lung adenocarcinoma share a modest transportable signal, but none is individually validated: a pre-registered benchmark</w:t>
      </w:r>
      <w:r>
        <w:rPr/>
        <w:t xml:space="preserve">” for consideration as a research paper in </w:t>
      </w:r>
      <w:r>
        <w:rPr>
          <w:i/>
        </w:rPr>
        <w:t>Computational Biology and Chemistry</w:t>
      </w:r>
      <w:r>
        <w:rPr/>
        <w:t>.</w:t>
      </w:r>
    </w:p>
    <w:p>
      <w:pPr>
        <w:spacing w:after="160" w:line="240" w:lineRule="auto"/>
      </w:pPr>
      <w:r>
        <w:rPr/>
        <w:t>Hundreds of long non-coding RNA (lncRNA) prognostic signatures have been published for lung adenocarcinoma, most of them developed in TCGA-LUAD and rarely tested, with their published coefficients, in independent patients. In a pre-registered benchmark (osf.io/qckvr), we rebuilt seven public cohorts from raw data and applied 15 published signatures exactly as published, matching every gene by Ensembl identifier and checking whether each cohort had been used by the signature's authors. We compared each signature with 2,000 expression-matched random gene sets, tested its added value beyond stage, sex and age, and compared its performance across cohorts.</w:t>
      </w:r>
    </w:p>
    <w:p>
      <w:pPr>
        <w:spacing w:after="160" w:line="240" w:lineRule="auto"/>
      </w:pPr>
      <w:r>
        <w:rPr/>
        <w:t>No individual signature outperformed random gene sets after correction for multiple testing, yet the scores pointed in the published direction in 23 of 25 independent observations, with a mean hazard ratio of 1.27 per standard deviation. The available public cohorts measure too few lncRNAs and record too few deaths to validate individual signatures, and clone-based lncRNA names that changed between annotation releases would have led symbol-based matching to score the wrong genes. A review of 76 published papers shows that most do not report the expression scale of their coefficients or the numeric risk cutoff.</w:t>
      </w:r>
    </w:p>
    <w:p>
      <w:pPr>
        <w:spacing w:after="160" w:line="240" w:lineRule="auto"/>
      </w:pPr>
      <w:r>
        <w:rPr/>
        <w:t>We believe the work fits the journal's focus on computational methods in the life sciences. It provides a reproducible pipeline with unit tests, released with its gene mappings and deviations log (https://github.com/msks2016/LUAD_signature_benchmark; https://doi.org/10.5281/zenodo.23621912), and practical recommendations for developing and validating lncRNA signatures. The study is reported following TRIPOD+AI and REMARK; both checklists are provided.</w:t>
      </w:r>
    </w:p>
    <w:p>
      <w:pPr>
        <w:spacing w:after="160" w:line="240" w:lineRule="auto"/>
      </w:pPr>
      <w:r>
        <w:rPr/>
        <w:t>This manuscript is original, has not been published, and is not under consideration elsewhere. All authors have approved the manuscript and agree with its submission. The authors declare no competing interests. All data analysed are publicly available. The use of AI-assisted technologies in preparing the manuscript and the analysis code is declared in the manuscript, in line with Elsevier's policy.</w:t>
      </w:r>
    </w:p>
    <w:p>
      <w:pPr>
        <w:spacing w:after="160" w:line="240" w:lineRule="auto"/>
      </w:pPr>
      <w:r>
        <w:rPr/>
        <w:t>Thank you for considering our manuscript.</w:t>
      </w:r>
    </w:p>
    <w:p>
      <w:pPr>
        <w:spacing w:after="480" w:line="276" w:lineRule="auto"/>
      </w:pPr>
      <w:r>
        <w:rPr/>
        <w:t>Yours sincerely,</w:t>
      </w:r>
    </w:p>
    <w:p>
      <w:pPr>
        <w:spacing w:after="0" w:line="276" w:lineRule="auto"/>
      </w:pPr>
      <w:r>
        <w:rPr/>
        <w:t>Zhongliang Ma</w:t>
      </w:r>
    </w:p>
    <w:p>
      <w:pPr>
        <w:spacing w:after="0" w:line="276" w:lineRule="auto"/>
      </w:pPr>
      <w:r>
        <w:rPr/>
        <w:t>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