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276" w:lineRule="auto"/>
      </w:pPr>
      <w:r>
        <w:rPr>
          <w:b/>
          <w:sz w:val="22"/>
        </w:rPr>
        <w:t>Title page</w:t>
      </w:r>
    </w:p>
    <w:p>
      <w:pPr>
        <w:spacing w:after="320" w:line="276" w:lineRule="auto"/>
      </w:pPr>
      <w:r>
        <w:rPr>
          <w:b/>
          <w:sz w:val="28"/>
        </w:rPr>
        <w:t>Published lncRNA prognostic signatures for lung adenocarcinoma share a modest transportable signal, but none is individually validated: a pre-registered benchmark</w:t>
      </w:r>
    </w:p>
    <w:p>
      <w:pPr>
        <w:spacing w:after="240" w:line="276" w:lineRule="auto"/>
      </w:pPr>
      <w:r>
        <w:rPr/>
        <w:t>Mohammad Shahinur Karim</w:t>
      </w:r>
      <w:r>
        <w:rPr>
          <w:vertAlign w:val="superscript"/>
        </w:rPr>
        <w:t>a,b</w:t>
      </w:r>
      <w:r>
        <w:rPr/>
        <w:t>, Yanli Li</w:t>
      </w:r>
      <w:r>
        <w:rPr>
          <w:vertAlign w:val="superscript"/>
        </w:rPr>
        <w:t>a</w:t>
      </w:r>
      <w:r>
        <w:rPr/>
        <w:t>, Md. Shahinul Islam</w:t>
      </w:r>
      <w:r>
        <w:rPr>
          <w:vertAlign w:val="superscript"/>
        </w:rPr>
        <w:t>b</w:t>
      </w:r>
      <w:r>
        <w:rPr/>
        <w:t>, Zhongliang Ma</w:t>
      </w:r>
      <w:r>
        <w:rPr>
          <w:vertAlign w:val="superscript"/>
        </w:rPr>
        <w:t>a,*</w:t>
      </w:r>
    </w:p>
    <w:p>
      <w:pPr>
        <w:spacing w:after="80" w:line="276" w:lineRule="auto"/>
      </w:pPr>
      <w:r>
        <w:rPr>
          <w:vertAlign w:val="superscript"/>
        </w:rPr>
        <w:t>a</w:t>
      </w:r>
      <w:r>
        <w:rPr/>
        <w:t xml:space="preserve"> Lab of ncRNA and Cancer, School of Life Sciences, Shanghai University, 99 Shangda Road, Baoshan District, Shanghai 200444, China</w:t>
      </w:r>
    </w:p>
    <w:p>
      <w:pPr>
        <w:spacing w:after="280" w:line="276" w:lineRule="auto"/>
      </w:pPr>
      <w:r>
        <w:rPr>
          <w:vertAlign w:val="superscript"/>
        </w:rPr>
        <w:t>b</w:t>
      </w:r>
      <w:r>
        <w:rPr/>
        <w:t xml:space="preserve"> 4-Green Research Society, Savar, Dhaka, Bangladesh</w:t>
      </w:r>
    </w:p>
    <w:p>
      <w:pPr>
        <w:spacing w:after="280" w:line="276" w:lineRule="auto"/>
      </w:pPr>
      <w:r>
        <w:rPr>
          <w:vertAlign w:val="superscript"/>
        </w:rPr>
        <w:t>*</w:t>
      </w:r>
      <w:r>
        <w:rPr>
          <w:b/>
        </w:rPr>
        <w:t xml:space="preserve"> Corresponding author: </w:t>
      </w:r>
      <w:r>
        <w:rPr/>
        <w:t>Zhongliang Ma, Lab of ncRNA and Cancer, School of Life Sciences, Shanghai University, 99 Shangda Road, Baoshan District, Shanghai 200444, China. E-mail: zlma@shu.edu.cn</w:t>
      </w:r>
    </w:p>
    <w:p>
      <w:pPr>
        <w:spacing w:after="80" w:line="276" w:lineRule="auto"/>
      </w:pPr>
      <w:r>
        <w:rPr>
          <w:b/>
        </w:rPr>
        <w:t>E-mail addresses of all authors</w:t>
      </w:r>
    </w:p>
    <w:p>
      <w:pPr>
        <w:spacing w:after="40" w:line="276" w:lineRule="auto"/>
      </w:pPr>
      <w:r>
        <w:rPr/>
        <w:t>Mohammad Shahinur Karim: mskarim@shu.edu.cn</w:t>
      </w:r>
    </w:p>
    <w:p>
      <w:pPr>
        <w:spacing w:after="40" w:line="276" w:lineRule="auto"/>
      </w:pPr>
      <w:r>
        <w:rPr/>
        <w:t>Yanli Li: liyanli@shu.edu.cn</w:t>
      </w:r>
    </w:p>
    <w:p>
      <w:pPr>
        <w:spacing w:after="40" w:line="276" w:lineRule="auto"/>
      </w:pPr>
      <w:r>
        <w:rPr/>
        <w:t>Md. Shahinul Islam: shahinul79@gmail.com</w:t>
      </w:r>
    </w:p>
    <w:p>
      <w:pPr>
        <w:spacing w:after="40" w:line="276" w:lineRule="auto"/>
      </w:pPr>
      <w:r>
        <w:rPr/>
        <w:t>Zhongliang Ma: zlma@shu.edu.cn</w:t>
      </w:r>
    </w:p>
    <w:p>
      <w:pPr>
        <w:spacing w:after="160" w:line="276" w:lineRule="auto"/>
      </w:pPr>
      <w:r>
        <w:rPr/>
      </w:r>
    </w:p>
    <w:p>
      <w:pPr>
        <w:spacing w:after="80" w:line="276" w:lineRule="auto"/>
      </w:pPr>
      <w:r>
        <w:rPr>
          <w:b/>
        </w:rPr>
        <w:t xml:space="preserve">Article type: </w:t>
      </w:r>
      <w:r>
        <w:rPr/>
        <w:t>Research paper</w:t>
      </w:r>
    </w:p>
    <w:p>
      <w:pPr>
        <w:spacing w:after="80" w:line="276" w:lineRule="auto"/>
      </w:pPr>
      <w:r>
        <w:rPr>
          <w:b/>
        </w:rPr>
        <w:t xml:space="preserve">Word count: </w:t>
      </w:r>
      <w:r>
        <w:rPr/>
        <w:t>abstract 246 words; main text 4,804 words (Introduction to Conclusions); 5 tables; 6 figures</w:t>
      </w:r>
    </w:p>
    <w:p>
      <w:pPr>
        <w:spacing w:after="80" w:line="276" w:lineRule="auto"/>
      </w:pPr>
      <w:r>
        <w:rPr>
          <w:b/>
        </w:rPr>
        <w:t xml:space="preserve">Keywords: </w:t>
      </w:r>
      <w:r>
        <w:rPr/>
        <w:t>lung adenocarcinoma; long non-coding RNA; prognostic signature; external validation; random gene sets; pre-registration</w:t>
      </w:r>
    </w:p>
    <w:p>
      <w:pPr>
        <w:spacing w:after="80" w:line="276" w:lineRule="auto"/>
      </w:pPr>
      <w:r>
        <w:rPr>
          <w:b/>
        </w:rPr>
        <w:t xml:space="preserve">Registration: </w:t>
      </w:r>
      <w:r>
        <w:rPr/>
        <w:t>Open Science Framework, osf.io/qckvr</w:t>
      </w:r>
    </w:p>
    <w:p>
      <w:pPr>
        <w:spacing w:after="80" w:line="276" w:lineRule="auto"/>
      </w:pPr>
      <w:r>
        <w:rPr>
          <w:b/>
        </w:rPr>
        <w:t xml:space="preserve">Code: </w:t>
      </w:r>
      <w:r>
        <w:rPr/>
        <w:t>https://github.com/msks2016/LUAD_signature_benchmark (release v2.0-submission; https://doi.org/10.5281/zenodo.23621912)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