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66D54" w14:textId="77777777" w:rsidR="0088184B" w:rsidRDefault="0088184B" w:rsidP="0088184B">
      <w:r>
        <w:rPr>
          <w:rFonts w:ascii="Segoe UI" w:hAnsi="Segoe UI" w:cs="Segoe UI"/>
          <w:b/>
          <w:bCs/>
          <w:color w:val="0F1115"/>
        </w:rPr>
        <w:t>Published LUAD lncRNA prognostic signatures cannot be conclusively assessed for transportability across currently available independent cohorts: a systematic benchmark with paired raw-score and Cox-model C-index reporting</w:t>
      </w:r>
    </w:p>
    <w:p w14:paraId="04C89B24" w14:textId="77777777" w:rsidR="00AF7D05" w:rsidRPr="00AF7D05" w:rsidRDefault="00AF7D05" w:rsidP="00AF7D05">
      <w:pPr>
        <w:spacing w:before="480" w:after="240"/>
        <w:outlineLvl w:val="1"/>
        <w:rPr>
          <w:rFonts w:ascii="Segoe UI" w:hAnsi="Segoe UI" w:cs="Segoe UI"/>
          <w:b/>
          <w:bCs/>
          <w:color w:val="0F1115"/>
          <w:sz w:val="36"/>
          <w:szCs w:val="36"/>
        </w:rPr>
      </w:pPr>
      <w:r w:rsidRPr="00AF7D05">
        <w:rPr>
          <w:rFonts w:ascii="Segoe UI" w:hAnsi="Segoe UI" w:cs="Segoe UI"/>
          <w:b/>
          <w:bCs/>
          <w:color w:val="0F1115"/>
          <w:sz w:val="36"/>
          <w:szCs w:val="36"/>
        </w:rPr>
        <w:t>Abstract (390 words)</w:t>
      </w:r>
    </w:p>
    <w:p w14:paraId="1EF46D8D" w14:textId="77777777" w:rsidR="00AF7D05" w:rsidRPr="00AF7D05" w:rsidRDefault="00AF7D05" w:rsidP="00AF7D05">
      <w:pPr>
        <w:spacing w:before="240" w:after="240"/>
        <w:rPr>
          <w:rFonts w:ascii="Segoe UI" w:hAnsi="Segoe UI" w:cs="Segoe UI"/>
          <w:color w:val="0F1115"/>
        </w:rPr>
      </w:pPr>
      <w:r w:rsidRPr="00AF7D05">
        <w:rPr>
          <w:rFonts w:ascii="Segoe UI" w:hAnsi="Segoe UI" w:cs="Segoe UI"/>
          <w:b/>
          <w:bCs/>
          <w:color w:val="0F1115"/>
        </w:rPr>
        <w:t>Background.</w:t>
      </w:r>
      <w:r w:rsidRPr="00AF7D05">
        <w:rPr>
          <w:rFonts w:ascii="Segoe UI" w:hAnsi="Segoe UI" w:cs="Segoe UI"/>
          <w:color w:val="0F1115"/>
        </w:rPr>
        <w:t> Hundreds of long non-coding RNA (lncRNA) prognostic signatures have been published for lung adenocarcinoma (LUAD), most developed on TCGA-LUAD and rarely validated in independent cohorts. Whether they generalize remains unclear.</w:t>
      </w:r>
    </w:p>
    <w:p w14:paraId="221B79EA" w14:textId="77777777" w:rsidR="00AF7D05" w:rsidRPr="00AF7D05" w:rsidRDefault="00AF7D05" w:rsidP="00AF7D05">
      <w:pPr>
        <w:spacing w:before="240" w:after="240"/>
        <w:rPr>
          <w:rFonts w:ascii="Segoe UI" w:hAnsi="Segoe UI" w:cs="Segoe UI"/>
          <w:color w:val="0F1115"/>
        </w:rPr>
      </w:pPr>
      <w:r w:rsidRPr="00AF7D05">
        <w:rPr>
          <w:rFonts w:ascii="Segoe UI" w:hAnsi="Segoe UI" w:cs="Segoe UI"/>
          <w:b/>
          <w:bCs/>
          <w:color w:val="0F1115"/>
        </w:rPr>
        <w:t>Methods.</w:t>
      </w:r>
      <w:r w:rsidRPr="00AF7D05">
        <w:rPr>
          <w:rFonts w:ascii="Segoe UI" w:hAnsi="Segoe UI" w:cs="Segoe UI"/>
          <w:color w:val="0F1115"/>
        </w:rPr>
        <w:t> We benchmarked 15 published LUAD lncRNA signatures across a reference cohort (TCGA-LUAD, n = 505) and four independent cohorts: CPTAC-3 (RNA-seq, n = 150, 38 events), GSE31210 (n = 226, 35 events), GSE50081 (n = 127, 51 events), and GSE30219 (n = 83, 43 events). Signatures were applied with published coefficients and no refitting, using per-gene z-scored expression within each cohort as pre-specified in the OSF registration (risk_score = Σᵢ βᵢ · z(exprᵢ)), under a primary 100% coverage rule and an 80% sensitivity rule. The estimand is the association of the published coefficient pattern with outcome after within-cohort standardization; the analysis does not test a fixed-reference or locked predictor applied to new patients. For each evaluable signature-cohort pair we computed the raw-score C-index and the log-HR per SD of the published score. A pooled log-HR per SD with a cluster-bootstrap 95% CI was computed across the 11 covered pairs under the primary rule (2 excluded by the pre-specified variance guard; 9 entering the pooled mean), with pre-specified decision rules. For Yao 2021, the preregistered pooled analysis under the 80% sensitivity rule used four independent cohorts; an exploratory two-cohort pool under the 100% rule was also computed. Reporting completeness was assessed in 76 reviewed publications.</w:t>
      </w:r>
    </w:p>
    <w:p w14:paraId="1320C89F" w14:textId="77777777" w:rsidR="00AF7D05" w:rsidRPr="00AF7D05" w:rsidRDefault="00AF7D05" w:rsidP="00AF7D05">
      <w:pPr>
        <w:spacing w:before="240" w:after="240"/>
        <w:rPr>
          <w:rFonts w:ascii="Segoe UI" w:hAnsi="Segoe UI" w:cs="Segoe UI"/>
          <w:color w:val="0F1115"/>
        </w:rPr>
      </w:pPr>
      <w:r w:rsidRPr="00AF7D05">
        <w:rPr>
          <w:rFonts w:ascii="Segoe UI" w:hAnsi="Segoe UI" w:cs="Segoe UI"/>
          <w:b/>
          <w:bCs/>
          <w:color w:val="0F1115"/>
        </w:rPr>
        <w:t>Results.</w:t>
      </w:r>
      <w:r w:rsidRPr="00AF7D05">
        <w:rPr>
          <w:rFonts w:ascii="Segoe UI" w:hAnsi="Segoe UI" w:cs="Segoe UI"/>
          <w:color w:val="0F1115"/>
        </w:rPr>
        <w:t> Coverage was highly cohort-dependent: 15 of 15 signatures met the 100% rule in TCGA-LUAD, 9 in CPTAC-3, and 2 in GSE31210. Across the 11 covered pairs (9 entering the pooled mean after 2 zero-variance exclusions), the pooled log-HR per SD was 0.322 (95% CI −0.062 to 0.677), classified as Inconclusive. Two signatures were Replicated in CPTAC-3: Wu 2022 and Yao 2021 (both Holm-adjusted p &lt; 0.05). Under the preregistered four-cohort pooled analysis, Yao 2021 gave HR per SD 1.44 (95% CI 1.25–1.66; k = 4; 167 events; I² = 0%); the exploratory two-cohort pool (k = 2; 73 events) gave 1.59 (95% CI 1.29–1.96) but does not satisfy the registered ≥3-cohort rule. Reporting completeness was uneven: 63/76 (82.9%) reported full coefficient tables; all 76 described a cutoff method but only 6 (7.9%) gave the numeric value; the scaling convention was stated in 27 (35.5%), implied in 38 (50.0%), and not stated in 11 (14.5%); independent external validation was reported in 24 (31.6%); text-versus-table conflicts in 8 (10.5%).</w:t>
      </w:r>
    </w:p>
    <w:p w14:paraId="6BBD4198" w14:textId="77777777" w:rsidR="00AF7D05" w:rsidRPr="00AF7D05" w:rsidRDefault="00AF7D05" w:rsidP="00AF7D05">
      <w:pPr>
        <w:spacing w:before="240" w:after="240"/>
        <w:rPr>
          <w:rFonts w:ascii="Segoe UI" w:hAnsi="Segoe UI" w:cs="Segoe UI"/>
          <w:color w:val="0F1115"/>
        </w:rPr>
      </w:pPr>
      <w:r w:rsidRPr="00AF7D05">
        <w:rPr>
          <w:rFonts w:ascii="Segoe UI" w:hAnsi="Segoe UI" w:cs="Segoe UI"/>
          <w:b/>
          <w:bCs/>
          <w:color w:val="0F1115"/>
        </w:rPr>
        <w:lastRenderedPageBreak/>
        <w:t>Conclusions.</w:t>
      </w:r>
      <w:r w:rsidRPr="00AF7D05">
        <w:rPr>
          <w:rFonts w:ascii="Segoe UI" w:hAnsi="Segoe UI" w:cs="Segoe UI"/>
          <w:color w:val="0F1115"/>
        </w:rPr>
        <w:t> Published LUAD lncRNA signatures cannot be conclusively assessed for transportability with currently available cohorts. Some signatures replicate individually, and one pools across four cohorts, but the aggregate effect is Inconclusive. Future studies should report lncRNA coverage, event counts, and the scaling convention explicitly; resolve deprecated symbols by Ensembl ID; and use adequately powered cohorts before making class-level claims.</w:t>
      </w:r>
    </w:p>
    <w:p w14:paraId="1F576459" w14:textId="77777777" w:rsidR="0088184B" w:rsidRDefault="0088184B" w:rsidP="0088184B">
      <w:pPr>
        <w:spacing w:before="240" w:after="240"/>
        <w:rPr>
          <w:rFonts w:ascii="Segoe UI" w:hAnsi="Segoe UI" w:cs="Segoe UI"/>
          <w:color w:val="0F1115"/>
        </w:rPr>
      </w:pPr>
      <w:r>
        <w:rPr>
          <w:rFonts w:ascii="Segoe UI" w:hAnsi="Segoe UI" w:cs="Segoe UI"/>
          <w:b/>
          <w:bCs/>
          <w:color w:val="0F1115"/>
        </w:rPr>
        <w:t>Keywords:</w:t>
      </w:r>
      <w:r>
        <w:rPr>
          <w:rFonts w:ascii="Segoe UI" w:hAnsi="Segoe UI" w:cs="Segoe UI"/>
          <w:color w:val="0F1115"/>
        </w:rPr>
        <w:t> lung adenocarcinoma; long non-coding RNA; prognostic signature; external validation; log-HR per SD; cohort sample size; reporting completeness.</w:t>
      </w:r>
    </w:p>
    <w:p w14:paraId="76B16778" w14:textId="77777777" w:rsidR="0088184B" w:rsidRDefault="004C1EF9" w:rsidP="0088184B">
      <w:pPr>
        <w:jc w:val="center"/>
        <w:rPr>
          <w:noProof/>
        </w:rPr>
      </w:pPr>
      <w:r>
        <w:rPr>
          <w:noProof/>
        </w:rPr>
      </w:r>
      <w:r>
        <w:pict w14:anchorId="376D03DB">
          <v:rect id="Horizontal Line 1" o:spid="_x0000_s1032"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0EDB6F31" w14:textId="77777777" w:rsidR="0088184B" w:rsidRDefault="0088184B" w:rsidP="0088184B">
      <w:pPr>
        <w:spacing w:before="480" w:after="240"/>
        <w:outlineLvl w:val="1"/>
        <w:rPr>
          <w:rFonts w:ascii="Segoe UI" w:hAnsi="Segoe UI" w:cs="Segoe UI"/>
          <w:b/>
          <w:bCs/>
          <w:color w:val="0F1115"/>
          <w:sz w:val="36"/>
          <w:szCs w:val="36"/>
        </w:rPr>
      </w:pPr>
      <w:r>
        <w:rPr>
          <w:rFonts w:ascii="Segoe UI" w:hAnsi="Segoe UI" w:cs="Segoe UI"/>
          <w:b/>
          <w:bCs/>
          <w:color w:val="0F1115"/>
          <w:sz w:val="36"/>
          <w:szCs w:val="36"/>
        </w:rPr>
        <w:t>Introduction</w:t>
      </w:r>
    </w:p>
    <w:p w14:paraId="13456360" w14:textId="77777777" w:rsidR="0088184B" w:rsidRDefault="0088184B" w:rsidP="0088184B">
      <w:pPr>
        <w:spacing w:before="240" w:after="240"/>
        <w:rPr>
          <w:rFonts w:ascii="Segoe UI" w:hAnsi="Segoe UI" w:cs="Segoe UI"/>
          <w:color w:val="0F1115"/>
        </w:rPr>
      </w:pPr>
      <w:r>
        <w:rPr>
          <w:rFonts w:ascii="Segoe UI" w:hAnsi="Segoe UI" w:cs="Segoe UI"/>
          <w:color w:val="0F1115"/>
        </w:rPr>
        <w:t>Lung adenocarcinoma (LUAD) is the most common histological subtype of lung cancer and a leading cause of cancer-related mortality worldwide [1]. Despite improvements in early detection and targeted therapy, five-year survival for LUAD remains highly variable, and patients with histologically similar tumors often experience markedly different clinical outcomes [2]. This heterogeneity has motivated two decades of work on molecular prognostic biomarkers that could supplement or refine standard TNM staging, with the goal of identifying patients who would benefit from more aggressive surveillance or adjuvant treatment [3].</w:t>
      </w:r>
    </w:p>
    <w:p w14:paraId="680212AB" w14:textId="77777777" w:rsidR="0088184B" w:rsidRDefault="0088184B" w:rsidP="0088184B">
      <w:pPr>
        <w:spacing w:before="240" w:after="240"/>
        <w:rPr>
          <w:rFonts w:ascii="Segoe UI" w:hAnsi="Segoe UI" w:cs="Segoe UI"/>
          <w:color w:val="0F1115"/>
        </w:rPr>
      </w:pPr>
      <w:r>
        <w:rPr>
          <w:rFonts w:ascii="Segoe UI" w:hAnsi="Segoe UI" w:cs="Segoe UI"/>
          <w:color w:val="0F1115"/>
        </w:rPr>
        <w:t>Long non-coding RNAs (lncRNAs) have emerged as attractive candidates for prognostic modeling in LUAD. They are tissue-specific, frequently dysregulated in cancer, and functionally implicated in cellular processes that shape tumor behavior, including proliferation, immune evasion, metabolic reprogramming, and resistance to therapy [4,5]. Over the past seven years, hundreds of studies have reported prognostic signatures composed of multiple lncRNAs, most commonly developed on the TCGA-LUAD cohort and reported with an internal C-index or hazard ratio derived from the same data [6]. A persistent concern with this literature is that few signatures have been tested in a genuinely independent cohort, and fewer still have been evaluated across multiple platforms or across cohorts collected in different treatment eras.</w:t>
      </w:r>
    </w:p>
    <w:p w14:paraId="32931E30" w14:textId="77777777" w:rsidR="0088184B" w:rsidRDefault="0088184B" w:rsidP="0088184B">
      <w:pPr>
        <w:spacing w:before="240" w:after="240"/>
        <w:rPr>
          <w:rFonts w:ascii="Segoe UI" w:hAnsi="Segoe UI" w:cs="Segoe UI"/>
          <w:color w:val="0F1115"/>
        </w:rPr>
      </w:pPr>
      <w:r>
        <w:rPr>
          <w:rFonts w:ascii="Segoe UI" w:hAnsi="Segoe UI" w:cs="Segoe UI"/>
          <w:color w:val="0F1115"/>
        </w:rPr>
        <w:t xml:space="preserve">Independent validation of published prognostic signatures is complicated by three problems that are rarely addressed together. The first is cohort dependence. Most signatures are developed and reported on TCGA-LUAD, which is a single RNA-seq cohort with its own ascertainment criteria, tissue-processing pipeline, and clinical composition. Whether a signature's reported prognostic value reflects a broadly transportable association or a cohort-specific overfit is rarely tested, and when it is, the </w:t>
      </w:r>
      <w:r>
        <w:rPr>
          <w:rFonts w:ascii="Segoe UI" w:hAnsi="Segoe UI" w:cs="Segoe UI"/>
          <w:color w:val="0F1115"/>
        </w:rPr>
        <w:lastRenderedPageBreak/>
        <w:t>results are often difficult to interpret because the validation cohort differs from the development cohort in multiple simultaneous ways [7].</w:t>
      </w:r>
    </w:p>
    <w:p w14:paraId="50F9D8C6" w14:textId="77777777" w:rsidR="0088184B" w:rsidRDefault="0088184B" w:rsidP="0088184B">
      <w:pPr>
        <w:spacing w:before="240" w:after="240"/>
        <w:rPr>
          <w:rFonts w:ascii="Segoe UI" w:hAnsi="Segoe UI" w:cs="Segoe UI"/>
          <w:color w:val="0F1115"/>
        </w:rPr>
      </w:pPr>
      <w:r>
        <w:rPr>
          <w:rFonts w:ascii="Segoe UI" w:hAnsi="Segoe UI" w:cs="Segoe UI"/>
          <w:color w:val="0F1115"/>
        </w:rPr>
        <w:t>The second problem is platform coverage. Public LUAD cohorts differ substantially in the technology used to measure gene expression. Microarray platforms such as GPL570, which are widely used as "validation sets" in the signature literature, were designed primarily to capture protein-coding genes and cover only a fraction of annotated lncRNAs. For signatures composed predominantly of lncRNAs, this means that a large proportion of signature genes are simply absent from the validation cohort's expression matrix, and the signature cannot be meaningfully evaluated. This platform-imposed ceiling on lncRNA coverage has received limited systematic attention in the signature literature, even though it directly determines which signatures can be validated at all [8].</w:t>
      </w:r>
    </w:p>
    <w:p w14:paraId="1BFE0CC2" w14:textId="77777777" w:rsidR="0088184B" w:rsidRDefault="0088184B" w:rsidP="0088184B">
      <w:pPr>
        <w:spacing w:before="240" w:after="240"/>
        <w:rPr>
          <w:rFonts w:ascii="Segoe UI" w:hAnsi="Segoe UI" w:cs="Segoe UI"/>
          <w:color w:val="0F1115"/>
        </w:rPr>
      </w:pPr>
      <w:r>
        <w:rPr>
          <w:rFonts w:ascii="Segoe UI" w:hAnsi="Segoe UI" w:cs="Segoe UI"/>
          <w:color w:val="0F1115"/>
        </w:rPr>
        <w:t>The third problem is event count. External validation of a prognostic model requires a sufficient number of outcome events to distinguish a real effect from chance. Established guidance recommends a minimum of 100 events and preferably 200 or more for stable estimation of model performance in a new cohort [10]. Many public LUAD cohorts, including microarray and proteogenomic cohorts, fall well below this threshold. When event counts are small, the confidence intervals around performance metrics are wide, and a signature with a genuinely transportable effect may be indistinguishable from one with no effect — a limit that is often not made explicit when such cohorts are used as "validation sets."</w:t>
      </w:r>
    </w:p>
    <w:p w14:paraId="7C3C265F" w14:textId="77777777" w:rsidR="0088184B" w:rsidRDefault="0088184B" w:rsidP="0088184B">
      <w:pPr>
        <w:spacing w:before="240" w:after="240"/>
        <w:rPr>
          <w:rFonts w:ascii="Segoe UI" w:hAnsi="Segoe UI" w:cs="Segoe UI"/>
          <w:color w:val="0F1115"/>
        </w:rPr>
      </w:pPr>
      <w:r>
        <w:rPr>
          <w:rFonts w:ascii="Segoe UI" w:hAnsi="Segoe UI" w:cs="Segoe UI"/>
          <w:color w:val="0F1115"/>
        </w:rPr>
        <w:t>A fourth problem, less discussed, is gene-identifier instability. Gene symbols published in 2018–2021 may have been renamed, merged, or retired. A coverage assessment that matches by the symbols as originally published may incorrectly conclude that a signature cannot be evaluated in a cohort, when in fact its genes are present under current names. This is especially likely for non-coding RNA genes, which have undergone substantial reannotation.</w:t>
      </w:r>
    </w:p>
    <w:p w14:paraId="2A98F7AF" w14:textId="77777777" w:rsidR="0088184B" w:rsidRDefault="0088184B" w:rsidP="0088184B">
      <w:pPr>
        <w:spacing w:before="240" w:after="240"/>
        <w:rPr>
          <w:rFonts w:ascii="Segoe UI" w:hAnsi="Segoe UI" w:cs="Segoe UI"/>
          <w:color w:val="0F1115"/>
        </w:rPr>
      </w:pPr>
      <w:r>
        <w:rPr>
          <w:rFonts w:ascii="Segoe UI" w:hAnsi="Segoe UI" w:cs="Segoe UI"/>
          <w:color w:val="0F1115"/>
        </w:rPr>
        <w:t>We performed a systematic benchmark of 15 published LUAD lncRNA prognostic signatures across one reference cohort (TCGA-LUAD, RNA-seq, n = 505 evaluable) and four independent cohorts: the CPTAC-3 LUAD proteogenomic cohort (RNA-seq, n = 150 with 38 deaths), the Japanese GSE31210 cohort (microarray, n = 226 with 35 deaths), and two additional GPL570 cohorts (GSE50081, n = 127 with 51 deaths; GSE30219, n = 83 with 43 deaths). The study was pre-registered on the Open Science Framework before any cohort was scored, with documented amendments filed before subsequent cohorts were analyzed [9]. We addressed three questions: whether published signatures outperform chance in independent cohorts, whether they add prognostic value beyond stage, and whether their published coefficients carry information across cohorts. Signatures were applied with their published coefficients and no refitting, using per-</w:t>
      </w:r>
      <w:r>
        <w:rPr>
          <w:rFonts w:ascii="Segoe UI" w:hAnsi="Segoe UI" w:cs="Segoe UI"/>
          <w:color w:val="0F1115"/>
        </w:rPr>
        <w:lastRenderedPageBreak/>
        <w:t>gene z-scored expression within each cohort as pre-specified in the OSF registration (Indices §1: risk_score = Σᵢ βᵢ · z(exprᵢ)). To our knowledge, this is the first benchmark of LUAD lncRNA signatures that (i) reports log-HRs per SD with cluster-aware confidence intervals across independent cohorts, (ii) systematically quantifies the platform-level lncRNA coverage limitation of public LUAD cohorts, and (iii) pre-specifies decision rules for classifying transportability as Transportable, Contradicted, Informative null, or Inconclusive. The registration restricts cross-cohort pooling to signatures evaluable in ≥3 independent cohorts where TCGA-LUAD was not the development cohort; the Yao 2021 cross-cohort analysis reported here meets this rule under the pre-specified 80% coverage sensitivity analysis.</w:t>
      </w:r>
    </w:p>
    <w:p w14:paraId="4962C113" w14:textId="77777777" w:rsidR="0088184B" w:rsidRDefault="0088184B" w:rsidP="0088184B">
      <w:pPr>
        <w:spacing w:before="240" w:after="240"/>
        <w:rPr>
          <w:rFonts w:ascii="Segoe UI" w:hAnsi="Segoe UI" w:cs="Segoe UI"/>
          <w:color w:val="0F1115"/>
        </w:rPr>
      </w:pPr>
      <w:r>
        <w:rPr>
          <w:rFonts w:ascii="Segoe UI" w:hAnsi="Segoe UI" w:cs="Segoe UI"/>
          <w:color w:val="0F1115"/>
        </w:rPr>
        <w:t>We report four principal findings. First, coverage of signature genes is highly cohort-dependent: all 15 signatures met the primary coverage rule in TCGA-LUAD, 9 of 15 in CPTAC-3, and only 2 of 15 in GSE31210, consistent with platform-level differences in lncRNA annotation. Second, the pooled log-HR per SD across the 11 independent signature-cohort pairs under the primary coverage rule was 0.322 (95% CI −0.062 to 0.677), classified as Inconclusive under pre-specified decision rules — the available cohorts are too small to distinguish a transportable effect from chance. Third, two signatures were Replicated by the pre-specified per-cohort rule in CPTAC-3: Wu 2022 (C = 0.675, p_adj = 0.027) and Yao 2021 (C = 0.675, p_adj = 0.028). Yao 2021 pooled across two fully-covered independent cohorts at HR per SD 1.592 (95% CI 1.294–1.957; k = 2; 73 events; I² = 0% [uninformative at k = 2]), with a four-cohort sensitivity analysis at HR per SD 1.442 (95% CI 1.249–1.664; k = 4; 167 events; I² = 0%) under the pre-specified 80% coverage rule. Fourth, an expression-matched divergence null test found no evidence that the raw-score vs gene-refit divergence exceeded chance (0 of 11 observed versus 4.9 expected), indicating that the published coefficient weights do not systematically fail to transport.</w:t>
      </w:r>
    </w:p>
    <w:p w14:paraId="6C95E132" w14:textId="77777777" w:rsidR="0088184B" w:rsidRDefault="0088184B" w:rsidP="0088184B">
      <w:pPr>
        <w:spacing w:before="240" w:after="240"/>
        <w:rPr>
          <w:rFonts w:ascii="Segoe UI" w:hAnsi="Segoe UI" w:cs="Segoe UI"/>
          <w:color w:val="0F1115"/>
        </w:rPr>
      </w:pPr>
      <w:r>
        <w:rPr>
          <w:rFonts w:ascii="Segoe UI" w:hAnsi="Segoe UI" w:cs="Segoe UI"/>
          <w:color w:val="0F1115"/>
        </w:rPr>
        <w:t>Our findings have three implications. For researchers developing LUAD lncRNA signatures, the results argue for reporting log-HRs per SD alongside C-indexes, and for testing signatures in genuinely independent cohorts of adequate size before publication. For researchers attempting to validate published signatures, our results suggest that the current public LUAD cohorts cannot support conclusive validation of most lncRNA prognostic signatures without careful attention to gene identifier stability: either the platform lacks adequate lncRNA annotation, or the cohort has too few events to distinguish a real effect from chance, or the signature's genes have been renamed and are being missed by symbol-based matching. More broadly, the results reinforce the well-documented need for prognostic biomarkers to be evaluated under conditions that match their intended clinical application, and they suggest that the field should explicitly acknowledge the limits imposed by currently available cohorts when reporting or interpreting validation results.</w:t>
      </w:r>
    </w:p>
    <w:p w14:paraId="4CED3F90" w14:textId="77777777" w:rsidR="0088184B" w:rsidRDefault="004C1EF9" w:rsidP="0088184B">
      <w:pPr>
        <w:jc w:val="center"/>
        <w:rPr>
          <w:noProof/>
        </w:rPr>
      </w:pPr>
      <w:r>
        <w:rPr>
          <w:noProof/>
        </w:rPr>
      </w:r>
      <w:r>
        <w:pict w14:anchorId="5E49F63C">
          <v:rect id="Horizontal Line 2" o:spid="_x0000_s1031"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14C6FF0F" w14:textId="77777777" w:rsidR="00341AB8" w:rsidRDefault="00341AB8" w:rsidP="00341AB8">
      <w:pPr>
        <w:pStyle w:val="Heading2"/>
        <w:spacing w:before="480" w:beforeAutospacing="0" w:after="240" w:afterAutospacing="0"/>
        <w:rPr>
          <w:rFonts w:ascii="Segoe UI" w:hAnsi="Segoe UI" w:cs="Segoe UI"/>
          <w:color w:val="0F1115"/>
        </w:rPr>
      </w:pPr>
      <w:r>
        <w:rPr>
          <w:rFonts w:ascii="Segoe UI" w:hAnsi="Segoe UI" w:cs="Segoe UI"/>
          <w:color w:val="0F1115"/>
        </w:rPr>
        <w:t>Methods</w:t>
      </w:r>
    </w:p>
    <w:p w14:paraId="31339A0C"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Signature selection</w:t>
      </w:r>
    </w:p>
    <w:p w14:paraId="23A98FA9"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We conducted a systematic PubMed search on [FILL IN] using the query ("lung adenocarcinoma"[Title/Abstract]) AND (lncRNA OR "long non-coding RNA" OR miRNA OR microRNA) AND (signature OR "prognostic model" OR "risk score" OR "risk model") AND (prognos* OR survival), restricted to publications from 2018 onwards. The search returned 404 records. After removal of duplicates, 404 records were screened on title and abstract; 90 full texts were reviewed; 15 signatures met the inclusion criteria and were included in the benchmark. The flow of records is shown in Figure 1.</w:t>
      </w:r>
    </w:p>
    <w:p w14:paraId="3AF8FCF1"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Inclusion criteria were: (i) the study reported a prognostic model for LUAD overall survival; (ii) the full gene list with Cox regression coefficients was provided; (iii) a risk-score formula was specified; (iv) the study was in human LUAD or NSCLC with LUAD reported separately. Exclusion criteria were: reviews; studies without coefficient lists; models based only on immune or clinical variables; studies in non-human systems; and mixed-cancer cohorts without LUAD-specific reporting. Screening was conducted by one reviewer. The signature list and coefficients were stored as tidy files, one per signature, with columns gene and coefficient. Signature characteristics are summarized in Table 1.</w:t>
      </w:r>
    </w:p>
    <w:p w14:paraId="7D0C8C61"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Cohort acquisition and harmonization</w:t>
      </w:r>
    </w:p>
    <w:p w14:paraId="6572557B"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Five LUAD cohorts were used for primary analyses — one reference cohort and four independent cohorts. Two additional cohorts were examined for coverage only. Cohort characteristics are summarized in Table 2.</w:t>
      </w:r>
    </w:p>
    <w:p w14:paraId="6E462D6B"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TCGA-LUAD served as the reference cohort (apparent-performance reference; not treated as independent because most signatures in this benchmark were developed on TCGA-LUAD). STAR-Counts RNA-seq files and clinical data were downloaded from the NCI Genomic Data Commons (GDC) using TCGAbiolinks. Samples were restricted to primary tumor (sample type 01), and one sample per patient was retained. After harmonization to patient-level barcodes and to the matching clinical file, 505 patients were evaluable, with 182 deaths and a median follow-up of 21.6 months; 78.8% of patients were stage I–II.</w:t>
      </w:r>
    </w:p>
    <w:p w14:paraId="154944A1"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lastRenderedPageBreak/>
        <w:t>CPTAC-3 LUAD served as the primary independent RNA-seq validation cohort. STAR-Counts files were downloaded from the GDC by file UUID using gdc-client, filtered to primary tumor samples as confirmed by the GDC sample sheet, and matched to clinical data. The final cohort contained 150 patients with 38 deaths and a median follow-up of 19.7 months; 76.7% of patients were stage I–II. Age at diagnosis was available for only 2% of this cohort and was therefore omitted from the stage-adjusted model for CPTAC-3.</w:t>
      </w:r>
    </w:p>
    <w:p w14:paraId="36DA978D"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GSE31210 served as an independent microarray validation cohort. Expression and phenotype data were downloaded from NCBI Gene Expression Omnibus (GEO) using GEOquery. Samples with missing survival data were excluded. The final cohort contained 226 patients with 35 deaths and a median follow-up of 57.3 months; all patients were stage I–II.</w:t>
      </w:r>
    </w:p>
    <w:p w14:paraId="7AF4C580"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GSE50081 (GPL570) and GSE30219 (GPL570) served as additional independent microarray cohorts. Both were filtered to LUAD samples with complete overall survival data and clinical information. GSE50081 contained 127 evaluable patients with 51 deaths; GSE30219 contained 83 evaluable patients with 43 deaths. Neither cohort was used in the development or validation of any signature included in this benchmark; they were analyzed separately for the signature that satisfied the pre-specified ≥3-independent-cohort pooling rule (Yao 2021), as described in Cross-cohort synthesis.</w:t>
      </w:r>
    </w:p>
    <w:p w14:paraId="1B49B211"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GSE72094 (GPL15048) was examined for coverage but could not be used to evaluate any signature because the targeted panel covered fewer than 5% of signature lncRNA genes.</w:t>
      </w:r>
    </w:p>
    <w:p w14:paraId="754105AC" w14:textId="51E897B3" w:rsidR="00341AB8" w:rsidRPr="007B6C20" w:rsidRDefault="00341AB8" w:rsidP="007B6C20">
      <w:r>
        <w:rPr>
          <w:rFonts w:ascii="Segoe UI" w:hAnsi="Segoe UI" w:cs="Segoe UI"/>
          <w:color w:val="0F1115"/>
        </w:rPr>
        <w:t xml:space="preserve">RNA-seq counts were converted to transcripts-per-million (TPM) values and log2(TPM + 1)-transformed. </w:t>
      </w:r>
      <w:r w:rsidR="007B6C20">
        <w:rPr>
          <w:rFonts w:ascii="Segoe UI" w:hAnsi="Segoe UI" w:cs="Segoe UI"/>
          <w:color w:val="0F1115"/>
          <w:shd w:val="clear" w:color="auto" w:fill="FFFFFF"/>
        </w:rPr>
        <w:t>Expression matrices for the three GPL570 microarray cohorts (GSE31210, GSE50081, GSE30219) were obtained from the NCBI Gene Expression Omnibus (GEO) as submitter-normalized series matrices via GEOquery (getGEO(), exprs()). Before any downstream transform, the value distribution of each matrix was inspected to determine whether the submitter had already applied a log transform; matrices with a maximum value below approximately 20 were treated as already log-scale and were not log2-transformed again, whereas matrices with values in the thousands were transformed with log2(x + 1). This scale check is documented in the analysis repository and prevents double log-transformation</w:t>
      </w:r>
      <w:r>
        <w:rPr>
          <w:rFonts w:ascii="Segoe UI" w:hAnsi="Segoe UI" w:cs="Segoe UI"/>
          <w:color w:val="0F1115"/>
        </w:rPr>
        <w:t xml:space="preserve">. The loader script for GSE31210 is retained in the analysis repository (scripts/14_load_GSE31210.R); the loader scripts for GSE50081 and GSE30219 were not preserved, and their matrices were verified post hoc to match the same series-matrix pathway by inspection of row-name structure and expression distributions. Reprocessing all three cohorts from CEL files with RMA would be the stronger pipeline and is recommended for future work; the resulting limitation is that cross-cohort </w:t>
      </w:r>
      <w:r>
        <w:rPr>
          <w:rFonts w:ascii="Segoe UI" w:hAnsi="Segoe UI" w:cs="Segoe UI"/>
          <w:color w:val="0F1115"/>
        </w:rPr>
        <w:lastRenderedPageBreak/>
        <w:t>comparisons of GPL570 expression are subject to whatever between-cohort preprocessing differences remain. Genes were mapped to HGNC symbols via GENCODE (RNA-seq) or platform annotation (microarray). When multiple probes or Ensembl IDs mapped to the same gene symbol, the entry with the highest mean expression was retained.</w:t>
      </w:r>
    </w:p>
    <w:p w14:paraId="5A838CF8"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Signature application</w:t>
      </w:r>
    </w:p>
    <w:p w14:paraId="03C3FF1B"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For each signature-cohort pair, risk scores were computed as the sum of the published coefficients multiplied by per-gene z-scored expression within each cohort, following the pre-specified formula in the OSF registration:</w:t>
      </w:r>
    </w:p>
    <w:p w14:paraId="111E6FB3"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risk_score = Σᵢ βᵢ · z(exprᵢ)</w:t>
      </w:r>
    </w:p>
    <w:p w14:paraId="57AFE50A"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Coefficients were taken verbatim from the original publications; no refitting was performed. Because expression was z-scored within each validation cohort, the score is not a fixed-reference transformation of the published model: each cohort's risk score depends on that cohort's own gene means and standard deviations. The analysis tests whether the published coefficient pattern (signs and relative magnitudes) carries prognostic signal after within-cohort standardization; it does not test a locked linear predictor that could be applied to a single new patient without reference to a training distribution. A signature was considered evaluable in a cohort under the primary rule if 100% of its genes were present in the harmonized expression matrix. A sensitivity analysis permitted up to 20% missing genes (≥80% coverage). Sensitivity to this threshold was assessed at maximum missing-gene percentages of 10%, 20% (sensitivity rule), and 30%. Signatures that failed the applicable rule were reported as "not evaluable" and excluded from that cohort's primary analyses.</w:t>
      </w:r>
    </w:p>
    <w:p w14:paraId="11F2A79F"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Gene-identifier resolution</w:t>
      </w:r>
    </w:p>
    <w:p w14:paraId="25154353"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Because HGNC symbols are not stable over time, and because several lncRNA genes in the included signatures have been renamed or retired since publication, we resolved all signature genes to their current Ensembl identifiers before coverage assessment. When a signature gene was not found in a cohort by its published symbol, we looked up the corresponding Ensembl ID via the ALIAS2PROBE and ENSEMBL tables of the relevant platform annotation package (hgu133plus2.db for GPL570; GENCODE annotation for RNA-seq), and searched for the current symbol in the cohort's gene row names. Two genes in the Yao 2021 signature were renamed between 2021 and the present analysis: LINC01137 is now LITATS1 (Ensembl ENSG00000233621), and C20orf197 maps to LINC02910 / MIR646HG / LOC729296 (Ensembl ENSG00000228340). One gene, </w:t>
      </w:r>
      <w:r>
        <w:rPr>
          <w:rFonts w:ascii="Segoe UI" w:hAnsi="Segoe UI" w:cs="Segoe UI"/>
          <w:color w:val="0F1115"/>
        </w:rPr>
        <w:lastRenderedPageBreak/>
        <w:t>MGC32805, is a retired Mammalian Gene Collection placeholder with no current HGNC or Ensembl entry and no probe in current GPL570 annotation.</w:t>
      </w:r>
    </w:p>
    <w:p w14:paraId="3BC48259"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Alias resolution and Ensembl mapping used org.Hs.eg.db version 3.23.1 and hgu133plus2.db version 3.13.0 (Ensembl annotation dated 2025-09-03, corresponding to Ensembl release 114). RNA-seq cohort matrices were indexed by HGNC symbol; GPL570 cohort matrices were supplied as submitter-collapsed gene-symbol matrices. For each resolved gene, we verified that at least one row (probe ID where available; gene symbol otherwise) carried real, non-constant signal in the corresponding cohort matrix; mappings for which all candidate rows returned constant or missing values were not counted as present. For the two renamed genes in the Yao 2021 signature (LINC01137 → LITATS1; C20orf197 → LINC02910 / MIR646HG / LOC729296), the gene-symbol rows carrying real signal were identified explicitly in GSE31210 (LINC01137, MIR646HG, C20orf197, LOC729296; all SD &gt; 0.68, range &gt; 4 log2 units) and used for scoring. The gene-identifier resolution step is documented in the deviations log and in Supplementary Table S21.</w:t>
      </w:r>
    </w:p>
    <w:p w14:paraId="7CC956D6"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Reporting completeness</w:t>
      </w:r>
    </w:p>
    <w:p w14:paraId="53154D05"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Reporting completeness was assessed for each of the 76 papers for which a detailed extraction record was available. Five items were coded from each paper's extraction record: (i) whether a full coefficient table with numeric coefficients was provided for every signature gene (full vs. none); (ii) whether a numeric risk cutoff value was stated (explicit_value) or only the method was described without a value (method_only); (iii) whether the scaling convention applied to expression values was stated explicitly with a named unit such as FPKM, TPM, RPKM, z-score, or STAR-Counts (stated); implied by reference to RNA-seq without naming a unit (implied); or not stated at all (not_stated); (iv) whether any cohort independent of the development cohort was used for validation, including public GEO cohorts, in-house clinical cohorts, or experimental qPCR on independent patient tissues (yes vs. no); and (v) whether the paper's text and tables disagreed on a coefficient sign, a numeric value, or the number of genes or samples (yes vs. no).</w:t>
      </w:r>
    </w:p>
    <w:p w14:paraId="7338ADA0"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Coding was performed by the primary investigator. A second coder (Moinul Islam, PhD student, Shanghai University) independently assessed 10 randomly drawn papers against the same definitions. Pre-discussion agreement was 100% for coefficient tables (Cohen's kappa 1.000, z = 3.16, p = 0.002), 100% for cutoff method (kappa not estimable because both coders gave identical answers), 60% for scaling convention (kappa 0.429, 95% CI −0.005 to 0.862, z = 2.54, p = 0.011), 100% for external validation (kappa 1.000, z = 3.16, p = 0.002), and 90% for text-versus-table conflicts (kappa not </w:t>
      </w:r>
      <w:r>
        <w:rPr>
          <w:rFonts w:ascii="Segoe UI" w:hAnsi="Segoe UI" w:cs="Segoe UI"/>
          <w:color w:val="0F1115"/>
        </w:rPr>
        <w:lastRenderedPageBreak/>
        <w:t>estimable because the primary coder gave identical answers on all 10 papers). Disagreements on the scaling convention (4 of 10 papers) and on the text-versus-table item (1 of 10 papers) were resolved by discussion, and the agreed definition of the scaling categories — with "implied" reserved for papers that mention RNA-seq without naming a unit — was applied consistently across all 76 papers. Post-resolution agreement was 100% across all five coded items.</w:t>
      </w:r>
    </w:p>
    <w:p w14:paraId="6069DA25"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Because the text-versus-table item is the most difficult to code reliably, a blinded second-coding pass was conducted on the 66 papers outside the original 10-paper dual-coding sample. The recheck identified three additional conflicts (records 93, 180, and 194: coefficient numeric value differs in 93 and 180, and coefficient sign differs in 194) that had been documented in the primary extraction notes but not propagated to the binary item. After verification by manual re-reading, the reported rate was updated from 5/76 (6.6%) to 8/76 (10.5%).</w:t>
      </w:r>
    </w:p>
    <w:p w14:paraId="57E2A391"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The screening phase reviewed 90 full texts; detailed extraction records were prepared for 76 of them and form the denominator for this analysis. The remaining 14 papers were not extracted and are therefore excluded from this denominator.</w:t>
      </w:r>
    </w:p>
    <w:p w14:paraId="2CA9E19F"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Discrimination metrics</w:t>
      </w:r>
    </w:p>
    <w:p w14:paraId="0C41527A"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For each evaluable signature-cohort pair, we computed two complementary discrimination metrics. The raw-score C-index was computed with survival::concordance(Surv(os_time, os_event) ~ risk_score, reverse = TRUE), which measures whether the published risk score ranks patients correctly (higher score corresponding to shorter survival). The Cox-model C-index was computed with concordance(coxph(Surv(os_time, os_event) ~ scale(risk_score))), which measures the concordance of a Cox model fitted to the same data. Because the Cox model contains the published risk score as its only covariate, its linear predictor is a scalar multiple of the published score, and the resulting C-index is identical to the raw-score C-index when the fitted coefficient is positive and reversed when negative; it is therefore reported only as a check on direction consistency and is not interpreted as an independent metric. Bootstrap 95% confidence intervals for the C-indexes used 1,000 resamples. Hazard ratios per standard deviation (SD) of the risk score with 95% confidence intervals were computed with coxph.</w:t>
      </w:r>
    </w:p>
    <w:p w14:paraId="4105D143"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Log-HR per SD and transportability analysis</w:t>
      </w:r>
    </w:p>
    <w:p w14:paraId="1739C0FF"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The primary metric in this study was the log-HR per one SD of the published risk score in each independent cohort, testing whether the published coefficient pattern retains </w:t>
      </w:r>
      <w:r>
        <w:rPr>
          <w:rFonts w:ascii="Segoe UI" w:hAnsi="Segoe UI" w:cs="Segoe UI"/>
          <w:color w:val="0F1115"/>
        </w:rPr>
        <w:lastRenderedPageBreak/>
        <w:t>association with outcome after within-cohort standardization. This is an association/discrimination test, not a validation of a fixed-reference predictor; absolute calibration and single-patient risk prediction were not assessed. For each signature-cohort pair, we fit:</w:t>
      </w:r>
    </w:p>
    <w:p w14:paraId="1DADBF52"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coxph(Surv(os_time, os_event) ~ scale(risk_score))</w:t>
      </w:r>
    </w:p>
    <w:p w14:paraId="2D91679C"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and took the coefficient of the standardized published score as the log-HR per SD. A coefficient near 0 indicates no association between the published score and survival in the new cohort; a positive coefficient indicates that the published direction of effect is preserved; a negative coefficient indicates that the published direction is reversed.</w:t>
      </w:r>
    </w:p>
    <w:p w14:paraId="3E4095B4"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Across the 11 covered signature-cohort pairs under the primary 100% coverage rule (CPTAC-3 = 9 evaluable signatures; GSE31210 = 2 evaluable signatures), we pooled the per-pair coefficients by their mean and computed a 95% confidence interval using a patient-level cluster bootstrap (1,000 resamples) that accounted for the shared cohort structure across pairs. Within each bootstrap iteration, patients were resampled with replacement within each cohort, and the same resampled patient set was used for all signatures in that cohort to preserve dependence. Pair-level estimates with zero-variance linear predictors were excluded from the mean using a variance guard (SD &lt; 10⁻⁶ returned NA). Of the 11 covered pairs, 2 CPTAC-3 pairs (Paper151 and Paper159) were excluded by this guard, and the remaining 9 pairs (CPTAC-3: 7; GSE31210: 2) entered the pooled mean. The 9 contributing pairs are listed in Table 3. The Yao 2021 signature (Paper62) contributes to the aggregate as two separate per-cohort pairs (CPTAC-3 and GSE31210); the cross-cohort Yao meta-analysis reported separately in Cross-cohort synthesis uses a different cohort set and is not part of the 9-pair aggregate. Because the same two cohorts contribute multiple correlated signatures to the aggregate, the patient-level cluster bootstrap resamples patients within each cohort and applies the same patient resample across all signatures in that cohort, preserving the within-cohort correlation structure. The resulting confidence interval quantifies patient-sampling uncertainty conditional on the selected cohorts; it does not model uncertainty over the broader population of cohorts or signatures. Pre-specified decision rules classified the pooled estimate as Transportable (CI lower bound &gt; 0), Contradicted (CI upper bound &lt; 0), Informative null (CI includes 0 and upper bound below δ), or Inconclusive (CI includes 0 and upper bound ≥ δ), with δ = log(1.25) = 0.223.</w:t>
      </w:r>
    </w:p>
    <w:p w14:paraId="4EBBDF8D"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The pooled estimate was 0.322 (95% CI −0.062 to 0.677), classified as Inconclusive by the pre-specified rules.</w:t>
      </w:r>
    </w:p>
    <w:p w14:paraId="187BF0CD"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lastRenderedPageBreak/>
        <w:t>Expression-matched null test and gene-refit divergence null</w:t>
      </w:r>
    </w:p>
    <w:p w14:paraId="65D1B45F" w14:textId="41F82953" w:rsidR="00341AB8" w:rsidRPr="007B6C20" w:rsidRDefault="007B6C20" w:rsidP="007B6C20">
      <w:r>
        <w:rPr>
          <w:rFonts w:ascii="Segoe UI" w:hAnsi="Segoe UI" w:cs="Segoe UI"/>
          <w:color w:val="0F1115"/>
          <w:shd w:val="clear" w:color="auto" w:fill="FFFFFF"/>
        </w:rPr>
        <w:t>For each signature, we constructed 2,000 random gene sets by replacing each signature gene with a randomly sampled gene from the same mean-expression decile as the original gene. The eligible gene universe for sampling was the set of all genes present in the harmonized cohort matrix after symbol mapping, excluding the signature's own genes; sampling was performed with replacement, so the same gene could appear in multiple null sets. Genes were matched only on mean-expression decile and were not additionally matched on gene type, variance, or platform coverage; because the eligible universe includes both protein-coding and non-coding genes, the null distribution may not be perfectly matched to the signature's gene-class composition, and we therefore interpret the resulting p-values as a descriptive comparison rather than a formal gene-class-controlled test.</w:t>
      </w:r>
      <w:r w:rsidR="00341AB8">
        <w:rPr>
          <w:rFonts w:ascii="Segoe UI" w:hAnsi="Segoe UI" w:cs="Segoe UI"/>
          <w:color w:val="0F1115"/>
        </w:rPr>
        <w:t xml:space="preserve"> The signature's published coefficients were then applied to the random genes' z-scored expression, and a C-index was computed for each null score. The two-sided empirical p-value was calculated as:</w:t>
      </w:r>
    </w:p>
    <w:p w14:paraId="3901A0CA"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p = (1 + #{|null C-index − 0.5| ≥ |observed C-index − 0.5|}) / (B + 1)</w:t>
      </w:r>
    </w:p>
    <w:p w14:paraId="0E823E07"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with B = 2,000. Holm correction was applied across the 15 signatures within each cohort. Signatures were then classified as Replicated (p_Holm &lt; 0.05 and C-index &gt; 0.5), Contradicted (p_Holm &lt; 0.05 and C-index &lt; 0.5), or Inconclusive (p_Holm ≥ 0.05).</w:t>
      </w:r>
    </w:p>
    <w:p w14:paraId="35924173" w14:textId="02F16C4D" w:rsidR="00341AB8" w:rsidRPr="007B6C20" w:rsidRDefault="00341AB8" w:rsidP="007B6C20">
      <w:r>
        <w:rPr>
          <w:rFonts w:ascii="Segoe UI" w:hAnsi="Segoe UI" w:cs="Segoe UI"/>
          <w:color w:val="0F1115"/>
        </w:rPr>
        <w:t xml:space="preserve">To test whether the divergence between raw-score C-index and gene-refit C-index (raw &lt; 0.5 and refit &gt; 0.5) exceeded chance, </w:t>
      </w:r>
      <w:r w:rsidR="007B6C20">
        <w:rPr>
          <w:rFonts w:ascii="Segoe UI" w:hAnsi="Segoe UI" w:cs="Segoe UI"/>
          <w:color w:val="0F1115"/>
          <w:shd w:val="clear" w:color="auto" w:fill="FFFFFF"/>
        </w:rPr>
        <w:t>we ran an analogous divergence null test: for each pair, we computed the divergence rate over 200 expression-matched random gene sets of the same size, drawn from the same eligible universe and with the same mean-expression decile matching as above, and compared the observed divergence count to the expected count. The 200-draw budget was chosen to keep the total divergence simulation tractable across all signature-cohort pairs while still providing a stable estimate of the null divergence rate; the resulting count is reported descriptively and no p-value is assigned to it.</w:t>
      </w:r>
      <w:r>
        <w:rPr>
          <w:rFonts w:ascii="Segoe UI" w:hAnsi="Segoe UI" w:cs="Segoe UI"/>
          <w:color w:val="0F1115"/>
        </w:rPr>
        <w:t xml:space="preserve"> The gene-refit C-index was computed by refitting a ridge-penalized Cox model on the signature's individual gene expression values (glmnet::cv.glmnet with alpha = 0, 5-fold inner cross-validation), with bootstrap optimism correction (200 iterations). This tests whether a re-weighted version of the signature's genes carries prognostic signal in the new cohort; it does not test whether the published linear predictor transports after recalibration.</w:t>
      </w:r>
    </w:p>
    <w:p w14:paraId="46E5A761"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Stage-adjusted model</w:t>
      </w:r>
    </w:p>
    <w:p w14:paraId="7352FC77"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For each of the 11 signatures evaluable in CPTAC-3 under the 80% sensitivity rule (a superset of the 9 primary-rule signatures), we compared a stage-only Cox model with a </w:t>
      </w:r>
      <w:r>
        <w:rPr>
          <w:rFonts w:ascii="Segoe UI" w:hAnsi="Segoe UI" w:cs="Segoe UI"/>
          <w:color w:val="0F1115"/>
        </w:rPr>
        <w:lastRenderedPageBreak/>
        <w:t>stage-plus-risk-score Cox model using the likelihood-ratio test and reported the change in C-index and the direction of the adjusted hazard ratio. Benjamini-Hochberg correction was applied across those 11 signatures. Stage was collapsed to four levels (I, II, III, IV). Age was excluded from the CPTAC-3 model because it was missing in 98% of patients.</w:t>
      </w:r>
    </w:p>
    <w:p w14:paraId="51AC6554"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Cross-cohort synthesis</w:t>
      </w:r>
    </w:p>
    <w:p w14:paraId="5DB82A58"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Hazard ratios per SD were displayed as a paired panel across independent cohorts. The OSF registration restricts cross-cohort pooling to signatures that are (i) evaluable in ≥3 independent cohorts and (ii) not developed in TCGA-LUAD. Under the primary 100% coverage rule, no signature satisfied both conditions; the Yao 2021 signature satisfied both under the pre-specified 80% coverage sensitivity rule, in which a signature is evaluable in a cohort if at least 80% of its genes are present. This rule was registered before any cohort was scored.</w:t>
      </w:r>
    </w:p>
    <w:p w14:paraId="7D3D6235"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For Yao 2021, published coefficients were applied verbatim to per-gene z-scored expression within each cohort, consistent with the pre-specified formula. Per-cohort hazard ratios per SD were computed as described in Log-HR per SD. Under the primary 100% coverage rule, Yao 2021 is evaluable in two independent cohorts (CPTAC-3, GSE31210); these two cohorts were pooled with random-effects restricted maximum likelihood (metafor::rma, method = "REML") to give an exploratory two-cohort estimate. This two-cohort estimate is distinct from the Yao per-cohort pairs included in the 9-pair aggregate log-HR per SD reported in the transportability section; that aggregate uses Yao as one signature among several in each of the two cohorts, whereas this cross-cohort synthesis pools the Yao signature alone across cohorts. Under the pre-specified 80% coverage sensitivity rule, the same procedure was applied across all four independent cohorts (CPTAC-3, GSE31210, GSE50081, GSE30219). Leave-one-cohort-out sensitivity was computed for the four-cohort sensitivity analysis by refitting the meta-analysis with each cohort omitted in turn.</w:t>
      </w:r>
    </w:p>
    <w:p w14:paraId="36ED8F34"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The gene-identifier resolution step (see Methods) was applied to Yao 2021 before any scoring; the revised resolution is documented in the deviations log and in Supplementary Table S21.</w:t>
      </w:r>
    </w:p>
    <w:p w14:paraId="529B92C9"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Positive and negative controls</w:t>
      </w:r>
    </w:p>
    <w:p w14:paraId="355AFB24"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Stage was used as a positive control. For each cohort, a Cox model with stage was expected to yield a monotonic hazard ratio across stages, with HR(stage III vs I) &gt; 1 and </w:t>
      </w:r>
      <w:r>
        <w:rPr>
          <w:rFonts w:ascii="Segoe UI" w:hAnsi="Segoe UI" w:cs="Segoe UI"/>
          <w:color w:val="0F1115"/>
        </w:rPr>
        <w:lastRenderedPageBreak/>
        <w:t>p &lt; 0.05. In CPTAC-3, the positive control passed (HR 2.65, p = 0.018, C-index 0.609). The expression-matched null test served as the negative control.</w:t>
      </w:r>
    </w:p>
    <w:p w14:paraId="7E6170E9"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Robustness checks</w:t>
      </w:r>
    </w:p>
    <w:p w14:paraId="7B359CDE"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Five robustness checks were performed. First, coverage rules at maximum missing-gene percentages of 10%, 20%, and 30% were compared. Second, all primary metrics were recomputed after excluding stage IV patients and after restricting to stage I–II only. Third, leave-one-cohort-out meta-analysis was performed for the Yao 2021 four-cohort sensitivity analysis. Fourth, deaths within three months of diagnosis were excluded to test for reverse-causation artifacts. Fifth, the effect of the expression-scaling choice (raw log2 expression vs z-scored expression) on the log-HR per SD was assessed.</w:t>
      </w:r>
    </w:p>
    <w:p w14:paraId="52CFE529"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Power analysis</w:t>
      </w:r>
    </w:p>
    <w:p w14:paraId="0C97411F"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Five hundred simulated cohorts with n = 150 patients and 38 events were generated per true effect size. True C-indexes were varied between 0.50 and 0.72 by manipulating the Cox coefficient of a simulated prognostic score. Statistical power to detect significance at p &lt; 0.05 in a univariable Cox model was estimated from the fraction of simulations reaching significance. This simulation estimates power for the single-cohort univariable Cox test at this sample size; it was not designed to evaluate the aggregate pooled log-HR per SD with cluster-bootstrap CI, which is the primary estimand.</w:t>
      </w:r>
    </w:p>
    <w:p w14:paraId="21A9F2F8"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Software and reproducibility</w:t>
      </w:r>
    </w:p>
    <w:p w14:paraId="0FDACA1F"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Analyses were performed in R version 4.6.1. Package versions were recorded with renv. The complete analysis pipeline, from raw data acquisition to all tables and figures, is available at</w:t>
      </w:r>
      <w:r>
        <w:rPr>
          <w:rStyle w:val="apple-converted-space"/>
          <w:rFonts w:ascii="Segoe UI" w:hAnsi="Segoe UI" w:cs="Segoe UI"/>
          <w:color w:val="0F1115"/>
        </w:rPr>
        <w:t> </w:t>
      </w:r>
      <w:hyperlink r:id="rId5" w:tgtFrame="_blank" w:history="1">
        <w:r>
          <w:rPr>
            <w:rStyle w:val="Hyperlink"/>
            <w:rFonts w:ascii="Segoe UI" w:eastAsiaTheme="majorEastAsia" w:hAnsi="Segoe UI" w:cs="Segoe UI"/>
            <w:bdr w:val="single" w:sz="12" w:space="0" w:color="auto" w:frame="1"/>
          </w:rPr>
          <w:t>github.com/msks2016/LUAD_signature_benchmark</w:t>
        </w:r>
      </w:hyperlink>
      <w:r>
        <w:rPr>
          <w:rFonts w:ascii="Segoe UI" w:hAnsi="Segoe UI" w:cs="Segoe UI"/>
          <w:color w:val="0F1115"/>
        </w:rPr>
        <w:t>.</w:t>
      </w:r>
      <w:r>
        <w:rPr>
          <w:rStyle w:val="apple-converted-space"/>
          <w:rFonts w:ascii="Segoe UI" w:hAnsi="Segoe UI" w:cs="Segoe UI"/>
          <w:color w:val="0F1115"/>
        </w:rPr>
        <w:t> </w:t>
      </w:r>
      <w:r>
        <w:rPr>
          <w:rFonts w:ascii="Segoe UI" w:hAnsi="Segoe UI" w:cs="Segoe UI"/>
          <w:color w:val="0F1115"/>
        </w:rPr>
        <w:t>The study was pre-registered on the Open Science Framework on [FILL IN]; amendments were filed on 2026-10-10 to disclose the addition of CPTAC-3 and the direction-consistency secondary outcome, and to add the transportability analysis with pre-specified decision rules. All deviations from the original registration are documented in the deviations log within the repository and in Supplementary Table S11.</w:t>
      </w:r>
    </w:p>
    <w:p w14:paraId="5788B950"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Reporting guidelines</w:t>
      </w:r>
    </w:p>
    <w:p w14:paraId="333A18CA"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The study was reported following the REMARK recommendations for prognostic marker validation and the TRIPOD statement for prediction model evaluation. A PRISMA-style flow diagram (Figure 1) is used for the signature-selection phase; the PRISMA 2020 </w:t>
      </w:r>
      <w:r>
        <w:rPr>
          <w:rFonts w:ascii="Segoe UI" w:hAnsi="Segoe UI" w:cs="Segoe UI"/>
          <w:color w:val="0F1115"/>
        </w:rPr>
        <w:lastRenderedPageBreak/>
        <w:t>checklist itself was not applied because this study is a benchmark rather than a systematic review of effects, and no formal systematic-review protocol was followed.</w:t>
      </w:r>
    </w:p>
    <w:p w14:paraId="3CB617CF" w14:textId="77777777" w:rsidR="0088184B" w:rsidRDefault="004C1EF9" w:rsidP="0088184B">
      <w:pPr>
        <w:jc w:val="center"/>
        <w:rPr>
          <w:noProof/>
        </w:rPr>
      </w:pPr>
      <w:r>
        <w:rPr>
          <w:noProof/>
        </w:rPr>
      </w:r>
      <w:r>
        <w:pict w14:anchorId="1DF502C0">
          <v:rect id="Horizontal Line 3" o:spid="_x0000_s1030"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6119C909" w14:textId="77777777" w:rsidR="00341AB8" w:rsidRDefault="00341AB8" w:rsidP="00341AB8">
      <w:pPr>
        <w:pStyle w:val="Heading2"/>
        <w:spacing w:before="480" w:beforeAutospacing="0" w:after="240" w:afterAutospacing="0"/>
        <w:rPr>
          <w:rFonts w:ascii="Segoe UI" w:hAnsi="Segoe UI" w:cs="Segoe UI"/>
          <w:color w:val="0F1115"/>
        </w:rPr>
      </w:pPr>
      <w:r>
        <w:rPr>
          <w:rFonts w:ascii="Segoe UI" w:hAnsi="Segoe UI" w:cs="Segoe UI"/>
          <w:color w:val="0F1115"/>
        </w:rPr>
        <w:t>Results</w:t>
      </w:r>
    </w:p>
    <w:p w14:paraId="35424200"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Signature selection and cohort assembly</w:t>
      </w:r>
    </w:p>
    <w:p w14:paraId="49EACAC6"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We curated 15 published LUAD lncRNA prognostic signatures by systematic PubMed search. The search returned 404 records, of which 404 were screened on title and abstract after removal of duplicates, 90 full texts were reviewed, and 15 signatures met the pre-specified inclusion criteria. The screening flow is shown in Figure 1. Signature characteristics are summarized in Table 1. Signature sizes ranged from 4 to 11 genes (mean 6.6), and each signature contained a mix of risk-promoting and protective coefficients.</w:t>
      </w:r>
    </w:p>
    <w:p w14:paraId="4F71E06D"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To characterize the reporting quality of the underlying literature, we assessed five reporting dimensions across the 76 reviewed papers for which a detailed extraction record was available (Supplementary Table S22). Full coefficient tables with numeric values for every signature gene were reported in 63 of 76 papers (82.9%). A risk-cutoff method was described in all 76 papers, but only 6 of 76 (7.9%) stated the numeric value of the cutoff; the remaining 70 papers described the method (median risk score, optimal cut-off, or X-tile diagram) without providing the value. The scaling convention applied to expression values before coefficient multiplication was stated explicitly with a named unit in 27 of 76 papers (35.5%). A further 38 papers (50.0%) indicated that RNA-seq data were used but did not name the unit — FPKM, TPM, counts, or another quantifier. The remaining 11 papers (14.5%) gave no indication of the scaling convention at all. Independent external validation evidence — including public GEO cohorts used to validate a prognostic model, in-house clinical cohorts, or experimental qPCR on independent patient tissues — was reported in 24 of 76 papers (31.6%); of these, the coding scheme grouped prognostic-model validation and expression-only validation into a single item, and this figure should not be read as evidence that all 24 independently validated a multigene prognostic model. Text-versus-table conflicts in coefficient signs, numeric values, or sample sizes were identified in 8 of 76 papers (10.5%). Coding was performed by the primary investigator. A second coder independently assessed 10 randomly drawn papers against the same definitions. Pre-discussion agreement was 100% for coefficient tables (Cohen's kappa 1.000), 100% for cutoff method (kappa not estimable), 60% for scaling convention (kappa 0.429, 95% CI </w:t>
      </w:r>
      <w:r>
        <w:rPr>
          <w:rFonts w:ascii="Segoe UI" w:hAnsi="Segoe UI" w:cs="Segoe UI"/>
          <w:color w:val="0F1115"/>
        </w:rPr>
        <w:lastRenderedPageBreak/>
        <w:t>−0.005 to 0.862), 100% for external validation (kappa 1.000), and 90% for text-versus-table conflicts (kappa not estimable). A blinded second-coding pass on the remaining 66 papers identified three additional text-versus-table conflicts (records 93, 180, 194), which were verified by manual re-reading.</w:t>
      </w:r>
    </w:p>
    <w:p w14:paraId="5EBB8EE9"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The scaling convention is the reporting gap that most directly affects reproducibility: without knowing whether published coefficients are intended to apply to raw log2 expression, TPM, or per-gene z-scored values, an independent validation cannot determine the appropriate risk-score transformation. The cutoff value is a second consequential gap: all 76 papers used a cutoff method, but only 6 reported the numeric value, so a reader cannot reproduce the published high- vs low-risk split without re-deriving it from the training data. Our own Yao 2021 case study illustrates the scaling consequence directly — applying the published coefficients to raw log2 expression versus per-gene z-scored expression produces HR per SD estimates that differ by up to 5% (1.66 vs 1.58 in CPTAC-3) and change the pooled estimate.</w:t>
      </w:r>
    </w:p>
    <w:p w14:paraId="5C666E43"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Five LUAD cohorts were used for primary analysis — one reference cohort and four independent cohorts — with two additional cohorts examined for coverage only. Cohort characteristics are summarized in Table 2. TCGA-LUAD served as the reference (apparent-performance) cohort (505 evaluable patients; 182 deaths; median follow-up 21.6 months; 78.8% stage I–II). CPTAC-3 LUAD served as the primary independent RNA-seq validation cohort (150 patients; 38 deaths; median follow-up 19.7 months; 76.7% stage I–II). GSE31210 served as an independent microarray cohort (226 patients; 35 deaths; median follow-up 57.3 months; 100% stage I–II). GSE50081 (GPL570) served as an additional independent microarray cohort (127 patients; 51 deaths); GSE30219 (GPL570) served as a further independent microarray cohort (83 patients; 43 deaths). GSE72094 (GPL15048) was excluded before signature evaluation because its targeted panel covered fewer than 5% of signature lncRNA genes. GSE50081 and GSE30219 were analyzed separately for the Yao 2021 signature under the pre-specified 80% coverage sensitivity rule (see Cross-cohort case study — Yao 2021).</w:t>
      </w:r>
    </w:p>
    <w:p w14:paraId="60A0F693"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Coverage of signature genes was highly cohort-dependent. Under the primary 100% coverage rule, 15 of 15 signatures were evaluable in TCGA-LUAD, 9 of 15 in CPTAC-3, and only 2 of 15 in GSE31210. Under the sensitivity 80% rule, 11 of 15 were evaluable in CPTAC-3. The per-signature coverage matrix is reported in Supplementary Table S23. The gap between RNA-seq and microarray cohorts is consistent with platform-level lncRNA annotation rather than differences in study design or patient composition. Of the six public LUAD cohorts we examined (including the TCGA-LUAD development cohort and five external cohorts) — TCGA-LUAD, CPTAC-3, GSE31210, GSE50081, GSE30219, and GSE72094 — only three (TCGA-LUAD, CPTAC-3, GSE31210) provided sufficient lncRNA coverage to evaluate any signature at all under the primary 100% rule. </w:t>
      </w:r>
      <w:r>
        <w:rPr>
          <w:rFonts w:ascii="Segoe UI" w:hAnsi="Segoe UI" w:cs="Segoe UI"/>
          <w:color w:val="0F1115"/>
        </w:rPr>
        <w:lastRenderedPageBreak/>
        <w:t>Two additional GPL570 cohorts (GSE50081 and GSE30219) provided sufficient coverage for one signature (Yao 2021) under the pre-specified 80% coverage sensitivity rule; coverage of Yao 2021 across all five cohorts is reported in Supplementary Table S24.</w:t>
      </w:r>
    </w:p>
    <w:p w14:paraId="1A20575F"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Univariable discrimination and expression-matched null test</w:t>
      </w:r>
    </w:p>
    <w:p w14:paraId="65C4958D"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For each evaluable signature-cohort pair, we computed the raw-score C-index and constructed an expression-matched null distribution (2,000 draws per signature) by replacing signature genes with random genes drawn from the same mean-expression decile and applying the published coefficients to those random genes. A two-sided empirical p-value was Holm-corrected across signatures within each cohort, and signatures were classified as Replicated, Contradicted, or Inconclusive. A signature was considered Replicated if its raw-score C-index exceeded 0.5 with a Holm-adjusted p-value below 0.05 against the expression-matched null; this classification is a nominal per-cohort result and is not evidence of validated cross-cohort transportability on its own.</w:t>
      </w:r>
    </w:p>
    <w:p w14:paraId="41AA2B59"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In CPTAC-3, under the primary 100% coverage rule, 9 signatures were evaluable: 2 were classified Replicated and 7 Inconclusive; no signature was classified Contradicted. The two Replicated signatures were Wu 2022 (observed raw-score C-index 0.675; 95% CI 0.589–0.762; null range 0.391–0.634; Holm-adjusted p = 0.027) and Yao 2021 (observed 0.675; 95% CI 0.592–0.760; null range 0.390–0.635; Holm-adjusted p = 0.028). Under the 80% sensitivity rule, the same two signatures remained Replicated, and 9 additional signatures (including Zheng 2021 and Zhang 2025 with partial gene coverage) were classified Inconclusive. Complete results for both rules are reported in Supplementary Tables S1 and S1b.</w:t>
      </w:r>
    </w:p>
    <w:p w14:paraId="384DC91A"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In GSE31210, only two signatures were evaluable under either rule: Yu 2024 was Replicated (observed raw C-index 0.713; 95% CI 0.621–0.797; null 0.345–0.655; Holm-adjusted p = 0.006) and Yao 2021 was Inconclusive (observed 0.643; 95% CI 0.551–0.736; null 0.352–0.664; Holm-adjusted p = 0.077). Complete results are reported in Supplementary Table S3.</w:t>
      </w:r>
    </w:p>
    <w:p w14:paraId="1B28C722"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The positive control passed in both primary independent cohorts. Stage was a monotonic predictor of overall survival in CPTAC-3 (HR stage III vs I = 2.65, p = 0.018, C-index 0.609) and in GSE31210 (consistent direction across stages), confirming that both cohorts carry real prognostic signal.</w:t>
      </w:r>
    </w:p>
    <w:p w14:paraId="066C3148"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lastRenderedPageBreak/>
        <w:t>Added prognostic value beyond stage</w:t>
      </w:r>
    </w:p>
    <w:p w14:paraId="7FAB4708"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For each of the 11 signatures evaluable in CPTAC-3 under the 80% sensitivity rule, we compared a stage-only Cox model with a stage-plus-signature Cox model. After Benjamini-Hochberg correction, four signatures added statistically significant prognostic value beyond stage (Table 4): Wu 2022 (ΔC-index +0.122; adjusted HR per SD 1.81, 95% CI 1.36–2.41; p_adj = 0.0006), Yao 2021 (ΔC-index +0.087; adjusted HR 1.60, 95% CI 1.18–2.16; p_adj = 0.009), Yang 2022 (ΔC-index +0.066; adjusted HR 1.98, 95% CI 1.31–2.97; p_adj = 0.006), and Li 2023 (ΔC-index +0.074; adjusted HR 1.592, 95% CI 1.15–2.45; p_adj = 0.021). The remaining seven signatures did not improve significantly on stage alone (ΔC-index between −0.002 and +0.042; p_adj &gt; 0.13).</w:t>
      </w:r>
    </w:p>
    <w:p w14:paraId="68D100BB"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All four signatures with added value have risk-increasing adjusted hazard ratios. Yao 2021's hazard ratio is risk-increasing and consistent with its Replicated classification in the expression-matched null test.</w:t>
      </w:r>
    </w:p>
    <w:p w14:paraId="3515E578"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Transportability analysis — log-HR per SD</w:t>
      </w:r>
    </w:p>
    <w:p w14:paraId="2410F6C6"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The primary metric in this study was the log-HR per one SD of the published risk score in each independent cohort, testing whether the published coefficient pattern retains association with outcome after within-cohort standardization. This is an association/discrimination test, not a validation of a fixed-reference predictor; absolute calibration and single-patient risk prediction were not assessed. For each signature-cohort pair, we fit a Cox model with the standardized published risk score as the only covariate and used the coefficient of that score as the log-HR per SD.</w:t>
      </w:r>
    </w:p>
    <w:p w14:paraId="39D7DD07"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Across the 11 covered signature-cohort pairs under the primary 100% coverage rule (CPTAC-3 = 9; GSE31210 = 2), individual coefficients ranged from −0.081 to 0.688, with most pairs showing positive values. The pooled log-HR per SD was 0.322 with a 95% CI of −0.062 to 0.677 (patient-level cluster bootstrap, 1,000 resamples). Under pre-specified decision rules (δ = log 1.25 = 0.223), this was classified as Inconclusive — the point estimate is positive, but the confidence interval spans zero and does not exclude the possibility that the published weights carry no meaningful signal in aggregate. Per-pair coefficients and hazard ratios per SD are reported in Table 3. Two pairs (Paper151 and Paper159 in CPTAC-3) had a constant linear predictor in that cohort and were excluded from the pooled mean by the pre-specified variance guard; they are reported with NA for the log-HR per SD column in Table 3. The remaining 9 pairs (CPTAC-3: 7; GSE31210: 2) entered the pooled mean. The Yao 2021 signature (Paper62) contributes to the aggregate as two separate per-cohort pairs (CPTAC-3 and GSE31210); the cross-cohort Yao meta-analysis reported separately below uses a different cohort set and is not part of the 9-pair aggregate.</w:t>
      </w:r>
    </w:p>
    <w:p w14:paraId="294719E1"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lastRenderedPageBreak/>
        <w:t>Divergence null test</w:t>
      </w:r>
    </w:p>
    <w:p w14:paraId="27B89964"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We also tested whether the divergence between the raw-score C-index and the gene-refit C-index (raw &lt; 0.5 while refit &gt; 0.5) occurred more often than chance. The gene-refit C-index used ridge-penalized Cox regression with bootstrap optimism correction (200 iterations) to avoid the overfitting that a plain in-sample Cox refit would produce. For each pair, we computed the divergence rate over 200 expression-matched random gene sets of the same size and compared the observed count to the null expectation. We used 200 rather than 2,000 draws for this test because the aim was a descriptive comparison of observed versus expected divergence, not a formal p-value; the choice trades precision for computational cost and the result is reported descriptively.</w:t>
      </w:r>
    </w:p>
    <w:p w14:paraId="6FE16432"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The divergence null test found 0 observed divergences out of 11 covered pairs (0%) versus 4.9 expected under the null (45%) — meaning the raw-vs-refit divergence was less frequent in real signatures than in matched random gene sets. This result does not support a claim that the published coefficient weights systematically fail to transport.</w:t>
      </w:r>
    </w:p>
    <w:p w14:paraId="34CDCE52"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Cross-cohort case study — Yao 2021</w:t>
      </w:r>
    </w:p>
    <w:p w14:paraId="5670F8E1"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Yao 2021 (ferroptosis and iron-metabolism related lncRNA signature; 7 genes as published) was the only signature evaluable in more than one independent cohort under the primary or sensitivity coverage rule, and it was therefore used as the case study for the pre-specified ≥3-independent-cohort pooling criterion. Yao 2021 was not used in any of the cohorts included in this benchmark by its original authors: the development cohort was TCGA-LUAD, and the validation cohorts were GSE3141 and GSE37745 (verified in Supplementary Table S13 and docs/cohort_overlap_verified.csv). All four of CPTAC-3, GSE31210, GSE50081, and GSE30219 are therefore independent for Yao 2021.</w:t>
      </w:r>
    </w:p>
    <w:p w14:paraId="4708A874"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Gene-identifier resolution was applied before scoring. Two genes that Yao 2021 published under old HGNC symbols have since been renamed: LINC01137 (current symbol LITATS1) and C20orf197 (current symbols LINC02910 / MIR646HG / LOC729296). Both genes were present in all cohorts after alias resolution. The third originally published gene, MGC32805, is a retired Mammalian Gene Collection placeholder symbol with no current HGNC or Ensembl entry and no probe in current GPL570 annotation; it is retained as a row name in TCGA-LUAD, CPTAC-3, and GSE31210, and is absent from GSE50081 and GSE30219. Under the pre-specified OSF 80% coverage sensitivity rule, 6 of 7 genes present (85.7%) is sufficient for evaluation. Published coefficients were applied verbatim to per-gene z-scored expression; the MGC32805 term was omitted in the two cohorts where the gene was absent, and this is disclosed in every reported result.</w:t>
      </w:r>
    </w:p>
    <w:p w14:paraId="32334661"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lastRenderedPageBreak/>
        <w:t>Per-cohort hazard ratios per standard deviation of the published risk score were: TCGA-LUAD (development cohort, reference only) 1.635 (95% CI 1.419–1.883); CPTAC-3 1.516 (95% CI 1.145–2.007; 38 events); GSE31210 1.687 (95% CI 1.242–2.292; 35 events); GSE50081 1.348 (95% CI 1.030–1.763; 51 events); GSE30219 1.278 (95% CI 0.950–1.719; 43 events). The direction of effect was consistent across all five cohorts, and the effect was individually significant in three of the four independent cohorts; GSE30219 did not reach nominal significance on its own but contributed to the pooled estimate.</w:t>
      </w:r>
    </w:p>
    <w:p w14:paraId="741FC1B7"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Under the preregistered pooled analysis, which satisfies the OSF registration's requirement of ≥3 independent cohorts, Yao 2021 is evaluable in four independent cohorts under the pre-specified 80% coverage sensitivity rule. GSE50081 and GSE30219 lack the retired placeholder gene MGC32805 (published coefficient −0.263) and have 6 of 7 genes present; CPTAC-3 and GSE31210 have all 7 genes present. The random-effects REML four-cohort pooled estimate is HR per SD 1.442 (95% CI 1.249–1.664; k = 4; 167 events; I² = 0%). Leave-one-cohort-out sensitivity gave pooled HRs of 1.380–1.496, all with lower 95% CI bounds above 1. An exploratory two-cohort pooled estimate under the primary 100% coverage rule (CPTAC-3 and GSE31210; k = 2; 73 events) gave HR per SD 1.592 (95% CI 1.294–1.957; I² = 0% [uninformative at k = 2]); this analysis does not satisfy the registered ≥3-cohort pooling requirement and is reported as exploratory rather than primary. Full results are in Table 3, Figure 3, and Supplementary Table S6.</w:t>
      </w:r>
    </w:p>
    <w:p w14:paraId="01577874"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Full paired C-index values for all reference-independent pairs are reported in Supplementary Table S10. Paired hazard ratios for signatures with two evaluable cohorts are shown in Figure 4.</w:t>
      </w:r>
    </w:p>
    <w:p w14:paraId="13B4AE12"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Robustness checks</w:t>
      </w:r>
    </w:p>
    <w:p w14:paraId="1586974C"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Five robustness checks were performed; all results are reported in Table 5 and the supplementary tables.</w:t>
      </w:r>
    </w:p>
    <w:p w14:paraId="67670AC6"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Coverage rule.</w:t>
      </w:r>
      <w:r>
        <w:rPr>
          <w:rStyle w:val="apple-converted-space"/>
          <w:rFonts w:ascii="Segoe UI" w:eastAsiaTheme="majorEastAsia" w:hAnsi="Segoe UI" w:cs="Segoe UI"/>
          <w:color w:val="0F1115"/>
        </w:rPr>
        <w:t> </w:t>
      </w:r>
      <w:r>
        <w:rPr>
          <w:rFonts w:ascii="Segoe UI" w:hAnsi="Segoe UI" w:cs="Segoe UI"/>
          <w:color w:val="0F1115"/>
        </w:rPr>
        <w:t>Under the primary 100% rule, 9 signatures were evaluable in CPTAC-3; under the 80% sensitivity rule, 11; under a 70% rule, 13. The primary conclusion (Wu 2022 and Yao 2021 Replicated, others Inconclusive) was unchanged across the 100% and 80% rules. Complete results: Supplementary Table S4.</w:t>
      </w:r>
    </w:p>
    <w:p w14:paraId="77152D0C"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Stage restriction.</w:t>
      </w:r>
      <w:r>
        <w:rPr>
          <w:rStyle w:val="apple-converted-space"/>
          <w:rFonts w:ascii="Segoe UI" w:eastAsiaTheme="majorEastAsia" w:hAnsi="Segoe UI" w:cs="Segoe UI"/>
          <w:color w:val="0F1115"/>
        </w:rPr>
        <w:t> </w:t>
      </w:r>
      <w:r>
        <w:rPr>
          <w:rFonts w:ascii="Segoe UI" w:hAnsi="Segoe UI" w:cs="Segoe UI"/>
          <w:color w:val="0F1115"/>
        </w:rPr>
        <w:t>The pattern of log-HRs per SD was preserved when stage IV patients were excluded (n = 149) and when restricted to stage I–II only (n = 117). Maximum change across subsets: 0.04. Complete results: Supplementary Table S5.</w:t>
      </w:r>
    </w:p>
    <w:p w14:paraId="026E2916"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lastRenderedPageBreak/>
        <w:t>Leave-one-cohort-out.</w:t>
      </w:r>
      <w:r>
        <w:rPr>
          <w:rStyle w:val="apple-converted-space"/>
          <w:rFonts w:ascii="Segoe UI" w:eastAsiaTheme="majorEastAsia" w:hAnsi="Segoe UI" w:cs="Segoe UI"/>
          <w:color w:val="0F1115"/>
        </w:rPr>
        <w:t> </w:t>
      </w:r>
      <w:r>
        <w:rPr>
          <w:rFonts w:ascii="Segoe UI" w:hAnsi="Segoe UI" w:cs="Segoe UI"/>
          <w:color w:val="0F1115"/>
        </w:rPr>
        <w:t>For the Yao 2021 four-cohort cross-cohort analysis, the pooled hazard ratio ranged from 1.380 to 1.496 across all leave-one-out subsets; all lower 95% CI bounds were above 1, and I² = 0% throughout. Complete results: Supplementary Table S6.</w:t>
      </w:r>
    </w:p>
    <w:p w14:paraId="572AF10E"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Early-death exclusion.</w:t>
      </w:r>
      <w:r>
        <w:rPr>
          <w:rStyle w:val="apple-converted-space"/>
          <w:rFonts w:ascii="Segoe UI" w:eastAsiaTheme="majorEastAsia" w:hAnsi="Segoe UI" w:cs="Segoe UI"/>
          <w:color w:val="0F1115"/>
        </w:rPr>
        <w:t> </w:t>
      </w:r>
      <w:r>
        <w:rPr>
          <w:rFonts w:ascii="Segoe UI" w:hAnsi="Segoe UI" w:cs="Segoe UI"/>
          <w:color w:val="0F1115"/>
        </w:rPr>
        <w:t>Removing deaths within three months of diagnosis (n = 3) did not change the pattern (maximum change 0.026). Complete results: Supplementary Table S7.</w:t>
      </w:r>
    </w:p>
    <w:p w14:paraId="256E8B8B"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Expression scaling.</w:t>
      </w:r>
      <w:r>
        <w:rPr>
          <w:rStyle w:val="apple-converted-space"/>
          <w:rFonts w:ascii="Segoe UI" w:eastAsiaTheme="majorEastAsia" w:hAnsi="Segoe UI" w:cs="Segoe UI"/>
          <w:color w:val="0F1115"/>
        </w:rPr>
        <w:t> </w:t>
      </w:r>
      <w:r>
        <w:rPr>
          <w:rFonts w:ascii="Segoe UI" w:hAnsi="Segoe UI" w:cs="Segoe UI"/>
          <w:color w:val="0F1115"/>
        </w:rPr>
        <w:t>The log-HR per SD was essentially unchanged whether the published score was applied to raw log2 expression or to z-scored expression. Complete results: Supplementary Table S12.</w:t>
      </w:r>
    </w:p>
    <w:p w14:paraId="1CEC1BBB" w14:textId="77777777" w:rsidR="00341AB8" w:rsidRDefault="00341AB8" w:rsidP="00341AB8">
      <w:pPr>
        <w:pStyle w:val="Heading3"/>
        <w:spacing w:before="480" w:after="240"/>
        <w:rPr>
          <w:rFonts w:ascii="Segoe UI" w:hAnsi="Segoe UI" w:cs="Segoe UI"/>
          <w:color w:val="0F1115"/>
        </w:rPr>
      </w:pPr>
      <w:r>
        <w:rPr>
          <w:rFonts w:ascii="Segoe UI" w:hAnsi="Segoe UI" w:cs="Segoe UI"/>
          <w:color w:val="0F1115"/>
        </w:rPr>
        <w:t>Power analysis</w:t>
      </w:r>
    </w:p>
    <w:p w14:paraId="28F08C4F"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Five hundred simulated cohorts with n = 150 patients and 38 events were generated per true effect size. Statistical power to detect significance at p &lt; 0.05 in a univariable Cox model was 68% for a true C-index of 0.61 and 94% for a true C-index of 0.65.</w:t>
      </w:r>
    </w:p>
    <w:p w14:paraId="2F436F18"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This simulation estimates power for the single-cohort univariable Cox test at this sample size; it was not designed to evaluate the aggregate pooled log-HR per SD with cluster-bootstrap CI, which is the primary estimand. The observed pooled log-HR per SD of 0.322 (95% CI −0.062 to 0.677) is wide, and the two primary independent cohorts contained 35 and 38 deaths — below the ≥100 event threshold typically recommended for external validation of prognostic models [10]. That threshold is guidance for prognostic model validation, not a hard pass/fail cutoff, and pooling across cohorts does not remove each cohort's limited precision. The combination of a modest aggregate signal, an Inconclusive pooled result, and sub-threshold event counts in the two primary independent cohorts is consistent with the interpretation that the available public LUAD cohorts are too small to definitively characterize the aggregate association of published lncRNA coefficient patterns with outcome after within-cohort standardization, even though two signatures replicate individually and one (Yao 2021) pools across four cohorts with 167 events.</w:t>
      </w:r>
    </w:p>
    <w:p w14:paraId="0B5DA5E9" w14:textId="77777777" w:rsidR="0088184B" w:rsidRDefault="004C1EF9" w:rsidP="0088184B">
      <w:pPr>
        <w:jc w:val="center"/>
        <w:rPr>
          <w:noProof/>
        </w:rPr>
      </w:pPr>
      <w:r>
        <w:rPr>
          <w:noProof/>
        </w:rPr>
      </w:r>
      <w:r>
        <w:pict w14:anchorId="382FEEAC">
          <v:rect id="Horizontal Line 4" o:spid="_x0000_s1029"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31B401FD" w14:textId="77777777" w:rsidR="00341AB8" w:rsidRDefault="00341AB8" w:rsidP="00341AB8">
      <w:pPr>
        <w:pStyle w:val="Heading2"/>
        <w:spacing w:before="480" w:beforeAutospacing="0" w:after="240" w:afterAutospacing="0"/>
        <w:rPr>
          <w:rFonts w:ascii="Segoe UI" w:hAnsi="Segoe UI" w:cs="Segoe UI"/>
          <w:color w:val="0F1115"/>
        </w:rPr>
      </w:pPr>
      <w:r>
        <w:rPr>
          <w:rFonts w:ascii="Segoe UI" w:hAnsi="Segoe UI" w:cs="Segoe UI"/>
          <w:color w:val="0F1115"/>
        </w:rPr>
        <w:t>Discussion</w:t>
      </w:r>
    </w:p>
    <w:p w14:paraId="61BD1EB9"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The central finding of this study is that the currently available public LUAD cohorts are insufficient to conclusively characterize the aggregate association of published lncRNA </w:t>
      </w:r>
      <w:r>
        <w:rPr>
          <w:rFonts w:ascii="Segoe UI" w:hAnsi="Segoe UI" w:cs="Segoe UI"/>
          <w:color w:val="0F1115"/>
        </w:rPr>
        <w:lastRenderedPageBreak/>
        <w:t>coefficient patterns with outcome after within-cohort standardization. We emphasize that the Inconclusive aggregate classification is itself a substantive finding rather than a null result: it establishes that the current public LUAD cohort landscape — under a pre-specified coverage rule and with pre-specified decision criteria — cannot distinguish a transportable class effect from chance. This reframes the conclusion from "signatures do not transport" to "the field lacks the cohorts needed to determine whether they do," and both readings are important and actionable. Two individual signatures (Wu 2022 and Yao 2021) were Replicated by the pre-specified per-cohort rule in CPTAC-3 after Holm correction. Under the preregistered pooled analysis — the only pooling analysis that satisfies the OSF registration's ≥3-cohort requirement — Yao 2021 pooled across four independent cohorts at HR per SD 1.442 (95% CI 1.249–1.664; k = 4; 167 events; I² = 0%) under the pre-specified 80% coverage rule. An exploratory two-cohort pool under the primary 100% coverage rule gave HR per SD 1.592 (95% CI 1.294–1.957; k = 2; 73 events; I² = 0% [uninformative at k = 2]). However, across the 11 covered signature-cohort pairs under the primary coverage rule (9 entering the pooled mean after 2 zero-variance exclusions), the pooled log-HR per SD was 0.322 (95% CI −0.062 to 0.677), classified as Inconclusive under pre-specified decision rules. Only three of six public LUAD cohorts examined had sufficient lncRNA annotation to evaluate any signature under the primary 100% rule, and the two primary independent cohorts each contained only 35–38 events — well below the ≥100 events recommended for external validation. These results support a specific and actionable claim: while some published signatures do replicate independently, and one pools across four cohorts, the current cohort landscape does not support definitive aggregate conclusions, and the field needs larger or better-annotated cohorts to answer the question for the class as a whole.</w:t>
      </w:r>
    </w:p>
    <w:p w14:paraId="2F509AEA"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This finding aligns with a growing body of work on the reproducibility of prognostic signatures in oncology. Venet and colleagues showed in 2011 that 28 of 47 published breast cancer signatures were not significantly better than randomly generated gene sets of the same size, and that this reflected properties of the signature construction process rather than the underlying biology [11]. Michiels and colleagues reached a similar conclusion in 2005 with a multiple-random-validation analysis, showing that most published microarray-based prognostic signatures were unstable when the selection process was repeated [12]. More recent work in other cancer types — including a 2026 benchmark of published triple-negative breast cancer signatures across six independent cohorts and a meta-analysis of lncRNA associations in hepatocellular carcinoma — has extended this pattern. The present study contributes to this literature by documenting both the individual successes (Wu 2022, Yao 2021, Yu 2024) and the aggregate limitations of the current cohort landscape, and by quantifying the platform- and event-count barriers that constrain what can be concluded. It also adds a methodological finding: gene-identifier instability in the lncRNA literature is a distinct </w:t>
      </w:r>
      <w:r>
        <w:rPr>
          <w:rFonts w:ascii="Segoe UI" w:hAnsi="Segoe UI" w:cs="Segoe UI"/>
          <w:color w:val="0F1115"/>
        </w:rPr>
        <w:lastRenderedPageBreak/>
        <w:t>reproducibility hazard that can mimic a coverage failure, and resolving by Ensembl ID before drawing conclusions is essential.</w:t>
      </w:r>
    </w:p>
    <w:p w14:paraId="4253D893"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From a methodological perspective, our results argue for four changes in how lncRNA prognostic signatures are evaluated and reported. First, validation cohorts should report lncRNA coverage explicitly, and signatures should only be evaluated in cohorts where all signature genes are present (or, at minimum, where ≥80% are present with the partial-coverage status clearly disclosed). In our analysis, three of six candidate cohorts failed the primary threshold and could be used only under the pre-specified sensitivity rule. Second, external validation should use cohorts meeting the event-count threshold recommended for prognostic model validation where possible. The Collins–Ogundimu–Altman guidance recommends at least 100 events and ideally 200 or more; the CPTAC-3 (38 events) and GSE31210 (35 events) cohorts used as primary independent cohorts here fall below this threshold on their own, though the Yao 2021 four-cohort sensitivity analysis reaches 167 events in aggregate. That threshold is guidance, not a hard pass/fail cutoff, and pooling across cohorts does not remove each cohort's limited precision. Third, log-HRs per SD should be reported alongside concordance indexes. Where the C-index summarizes overall discrimination, the log-HR per SD measures whether the published coefficient pattern retains its association with outcome in the new cohort; the two can diverge in ways that matter for interpretation. Fourth, validation studies should distinguish between refits of the composite published score (which test transportability of the published weighting) and refits of the signature's individual genes (which test whether the genes themselves carry signal under a re-learned weighting).</w:t>
      </w:r>
    </w:p>
    <w:p w14:paraId="25A869E1"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The reporting-completeness analysis (Supplementary Table S22) suggests a partial explanation for why transporting published signatures is difficult in practice. Across the 76 reviewed papers for which a detailed extraction record was available, only 27 (35.5%) stated the scaling convention explicitly. A further 38 (50.0%) indicated that RNA-seq data were used but never named the unit, and 11 (14.5%) gave no scale information at all. In other words, roughly two of every three reviewed papers derived their signature from an RNA-seq cohort but did not name the unit applied to expression before coefficient multiplication. A second consequential reporting gap concerns the cutoff value: all 76 papers described a risk-cutoff method, but only 6 (7.9%) stated the numeric cutoff value. Full coefficient tables were reported in 63 of 76 papers (82.9%), and independent external validation evidence in 24 of 76 (31.6%). Text-versus-table conflicts in coefficient signs, numeric values, or sample sizes were identified in 8 of 76 papers (10.5%). The scaling convention is the reporting gap that most directly affects reproducibility, because it determines how a risk score behaves in a new cohort. Our own Yao 2021 case study illustrates the consequence: applying the published coefficients to raw log2 expression versus per-gene z-scored expression produces HR per SD estimates that differ by up to 5% (1.66 vs 1.58 in CPTAC-3) and change the </w:t>
      </w:r>
      <w:r>
        <w:rPr>
          <w:rFonts w:ascii="Segoe UI" w:hAnsi="Segoe UI" w:cs="Segoe UI"/>
          <w:color w:val="0F1115"/>
        </w:rPr>
        <w:lastRenderedPageBreak/>
        <w:t>pooled estimate. The absence of the numeric cutoff is the second consequential gap: because a median or X-tile cutoff is applied to the training cohort's own risk score distribution, a reader cannot reproduce the published high- vs low-risk split without re-deriving it, and the same signature can classify the same patient differently in a new cohort depending on how the cutoff is applied. We therefore recommend that future signature publications state the scaling convention explicitly — raw log2 expression, per-gene z-scoring, or another transformation — alongside the coefficient table, and report the numeric cutoff value. Validation studies should report both raw-expression and z-scored HR estimates when the scaling convention is unclear.</w:t>
      </w:r>
    </w:p>
    <w:p w14:paraId="48F2947C"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A methodological point that emerged during this analysis concerns deprecated gene symbols. Two of the seven genes in Yao 2021 — LINC01137 and C20orf197 — have been renamed since publication (to LITATS1 and LINC02910 / MIR646HG / LOC729296, respectively), and one — MGC32805 — is a retired Mammalian Gene Collection placeholder with no current annotation. A coverage assessment that matched only the symbols as published would have shown 4 of 7 genes present in GSE50081 and GSE30219, and concluded that Yao 2021 could not be evaluated in those cohorts. After mapping by current symbols, 6 of 7 genes were present in both GPL570 cohorts lacking MGC32805, and Yao 2021 pooled across four independent cohorts at HR per SD 1.442 (95% CI 1.249–1.664; k = 4; 167 events; I² = 0%) under the pre-specified 80% coverage rule, with an exploratory two-cohort pool (CPTAC-3 + GSE31210) under the primary 100% coverage rule at HR per SD 1.592 (95% CI 1.294–1.957; k = 2; 73 events). This illustrates a broader reproducibility issue for the lncRNA signature literature: gene identifiers are not stable, and cross-cohort evaluation must resolve deprecated symbols before concluding that a signature cannot be transported. We recommend that validation studies include an explicit gene-identifier resolution step and report coverage under both published and current symbols.</w:t>
      </w:r>
    </w:p>
    <w:p w14:paraId="1D373848"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From a clinical perspective, the pattern we observe has two implications. On the one hand, the signatures that were Replicated by the pre-specified per-cohort rule — Wu 2022 and Yao 2021 in CPTAC-3, and Yu 2024 in GSE31210 — are candidates for further investigation in prospective or larger independent cohorts. Wu 2022 (ΔC-index +0.122, p_adj = 0.0006) and Yao 2021 (ΔC-index +0.087, p_adj = 0.009) both added prognostic value beyond stage in CPTAC-3. These retrospective cohort associations do not establish clinical utility, and the analyses reported here were not designed to assess calibration of absolute risk. Any future claim of clinical usefulness would require prospective validation with adequate event counts and an explicit calibration assessment. On the other hand, the aggregate evidence base does not yet support clinical translation of the LUAD lncRNA signature literature as a class. Most signatures remain inconclusive at current cohort sizes, and the pooled effect cannot be resolved at these event counts.</w:t>
      </w:r>
    </w:p>
    <w:p w14:paraId="6A76F6D3"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lastRenderedPageBreak/>
        <w:t>This study has several limitations. First, the number of independent cohorts with adequate lncRNA coverage under the primary 100% rule is small: only CPTAC-3 (9 evaluable signatures) and GSE31210 (2 evaluable signatures) provided sufficient coverage, and only one signature (Yao 2021) was evaluable in both and in the two additional GPL570 cohorts under the 80% rule. Second, event counts in the two primary independent cohorts are modest (38 in CPTAC-3, 35 in GSE31210), which is below the ≥100 event threshold for external validation on their own; the Yao 2021 four-cohort sensitivity analysis reaches 167 events. Third, the classification of signatures depends on the coverage rule; we tested 80% and 70% rules and confirmed stability of the overall pattern, but two signatures (Zheng 2021 and Zhang 2025) are only evaluable under the less restrictive 80% rule, and their C-indexes are close to 0.5. Fourth, age at diagnosis was missing for 98% of CPTAC-3 patients, so the stage-adjusted model could not include age in that cohort. Fifth, the three GPL570 microarray cohorts were used as submitter-normalized series matrices rather than being reprocessed uniformly from CEL files with RMA; the loader scripts for GSE50081 and GSE30219 were not preserved. This leaves open the possibility of between-cohort preprocessing differences that would not be present under a fully harmonized RMA pipeline, and it is a reproducibility limitation of the present analysis. Sixth, our platform-coverage conclusion is based on the LUAD cohorts examined here; other LUAD cohorts exist that may have better lncRNA coverage and different prognostic composition, particularly RNA-seq cohorts from Asian populations and from recent prospective studies. Seventh, the reporting-completeness analysis used a denominator of 76 papers for which a detailed extraction record was available rather than the full set of 90 papers screened. The screening phase reviewed 90 full texts; 76 were extracted and form the denominator for the reporting-completeness analysis, and the remaining 14 were excluded for lack of detailed extraction records. Screening was conducted by a single reviewer, and selection bias cannot be excluded. Coding was performed by the primary investigator, with independent second-coder verification of 10 randomly drawn papers and a blinded second-coding pass of the text-versus-table item across the remaining 66 papers; three additional text-versus-table conflicts were identified during the recheck, raising the reported rate from 5/76 (6.6%) to 8/76 (10.5%). This is consistent with the item being the most difficult of the five coded dimensions to assess reliably on a single pass.</w:t>
      </w:r>
    </w:p>
    <w:p w14:paraId="70E7E03B"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Two analysis decisions were finalized after examining cohort coverage: the primary 100% gene-coverage rule, with the 80% coverage rule retained as a pre-specified sensitivity analysis, and the final scoring convention of per-gene z-scoring, which was corrected in the Methods to match the OSF registration (Indices §1). The 100% coverage rule was therefore not wholly prespecified; it was finalized after cohort coverage was assessed. The OSF registration restricts cross-cohort pooling to signatures evaluable in ≥3 independent cohorts; the two-cohort Yao analysis under the 100% rule does not </w:t>
      </w:r>
      <w:r>
        <w:rPr>
          <w:rFonts w:ascii="Segoe UI" w:hAnsi="Segoe UI" w:cs="Segoe UI"/>
          <w:color w:val="0F1115"/>
        </w:rPr>
        <w:lastRenderedPageBreak/>
        <w:t>satisfy this requirement and is reported as exploratory. Only the four-cohort analysis under the 80% coverage rule satisfies the registered pooling rule. Both decisions are documented in the deviations log and in Supplementary Table S21. The gene-identifier resolution step, the corrected coverage of Yao 2021, and the resulting four-cohort pooling analysis are documented in Amendments 1–3 of the deviations log. The pre-registered decision rules, the three-way classification scheme (Replicated / Contradicted / Inconclusive), and the H1–H3 hypotheses were applied without modification.</w:t>
      </w:r>
    </w:p>
    <w:p w14:paraId="0A9220A3"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The analysis tested association of the published coefficient pattern under within-cohort standardization, not a fixed-reference or locked predictor. Absolute risk calibration and single-patient risk prediction were not assessed; risk scores and any derived cutoffs are cohort-relative by construction. C-index and log-HR assess ranking and association only, not calibration of absolute risk, and clinical utility was not assessed.</w:t>
      </w:r>
    </w:p>
    <w:p w14:paraId="22FAC198"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These limitations suggest specific directions for future work. Signature developers should test their signatures on genuinely independent RNA-seq cohorts with adequate lncRNA annotation and at least 100 events before publication, and should report both raw-score C-indexes and log-HRs per SD as standard practice. They should also state the scaling convention applied to expression values before coefficient multiplication, provide current Ensembl identifiers alongside the published symbols, and report the numeric value of the risk cutoff rather than only the method. Validation studies should explicitly report lncRNA coverage of their platform and event count in the abstract, so that readers can assess whether the study was capable of detecting a real effect; they should also resolve deprecated symbols by Ensembl ID before concluding that a signature cannot be transported. Larger independent cohorts with adequate lncRNA coverage would allow the transportability analysis to be conducted at the signature level rather than only in aggregate, and would permit the identification of signature-level or gene-level features that predict which signatures are more likely to transport. Finally, functional validation of the individual genes that retain prognostic signal across cohorts — particularly those in Wu 2022, Yao 2021, and Yu 2024 — could clarify the biology underlying the transportable component of published signatures.</w:t>
      </w:r>
    </w:p>
    <w:p w14:paraId="08E1966D"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 xml:space="preserve">In summary, published LUAD lncRNA prognostic signatures show mixed evidence for independent replication: two signatures (Wu 2022 and Yao 2021) were Replicated by the pre-specified per-cohort rule in CPTAC-3, and one (Yu 2024) was Replicated in GSE31210. Under the preregistered pooled analysis — which satisfies the OSF registration's ≥3-cohort requirement — Yao 2021 pooled across four independent cohorts at HR per SD 1.44 (95% CI 1.25–1.66; k = 4; 167 events; I² = 0%). An exploratory two-cohort pool under the primary 100% coverage rule gave HR per SD 1.59 (95% CI 1.29–1.96; k = 2; 73 events; I² = 0% [uninformative at k = 2]). The aggregate pooled effect across the 9 contributing primary independent signature-cohort pairs (of 11 </w:t>
      </w:r>
      <w:r>
        <w:rPr>
          <w:rFonts w:ascii="Segoe UI" w:hAnsi="Segoe UI" w:cs="Segoe UI"/>
          <w:color w:val="0F1115"/>
        </w:rPr>
        <w:lastRenderedPageBreak/>
        <w:t>covered; 2 excluded by the pre-specified variance guard) nevertheless remains Inconclusive. Interpreted precisely, this Inconclusive result concerns the association of the published coefficient pattern after within-cohort standardization; it does not resolve whether a fixed-reference implementation of any signature would transport.</w:t>
      </w:r>
    </w:p>
    <w:p w14:paraId="51547B89"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The current LUAD lncRNA signature literature is not primarily a story of signatures that fail; it is a story of individual successes embedded in a cohort landscape that cannot yet answer the aggregate question. The Inconclusive aggregate classification should not be read as a failure of the analysis but as a quantified limit of the current evidence base: it specifies, with a pre-registered decision rule and a confidence interval, exactly what the current cohorts can and cannot support. A parallel finding concerns the literature itself: across the 76 reviewed papers for which a detailed extraction record was available, only 27 (35.5%) stated the scaling convention explicitly, a further 38 (50.0%) indicated RNA-seq without naming the unit, and 52 (68.4%) did not report independent external validation evidence. We recommend that the field adopt five practices: report lncRNA coverage and event counts explicitly, state the scaling convention and the numeric cutoff value, resolve deprecated gene symbols by Ensembl ID before evaluating a signature, report log-HRs per SD alongside C-indexes in external validation, and wait for adequately powered cohorts before making aggregate claims about the clinical utility of any signature class.</w:t>
      </w:r>
    </w:p>
    <w:p w14:paraId="3114097E" w14:textId="77777777" w:rsidR="00341AB8" w:rsidRDefault="00341AB8" w:rsidP="00341AB8">
      <w:pPr>
        <w:pStyle w:val="ds-markdown-paragraph"/>
        <w:spacing w:before="240" w:beforeAutospacing="0" w:after="240" w:afterAutospacing="0"/>
        <w:rPr>
          <w:rFonts w:ascii="Segoe UI" w:hAnsi="Segoe UI" w:cs="Segoe UI"/>
          <w:color w:val="0F1115"/>
        </w:rPr>
      </w:pPr>
      <w:r>
        <w:rPr>
          <w:rFonts w:ascii="Segoe UI" w:hAnsi="Segoe UI" w:cs="Segoe UI"/>
          <w:color w:val="0F1115"/>
        </w:rPr>
        <w:t>To support future studies in adopting these practices, we have prepared a reporting checklist for LUAD lncRNA prognostic signatures (Supplementary File 1), covering signature reporting, validation reporting, and reporting hygiene. The checklist is based directly on the findings of the reporting-completeness analysis (Supplementary Table S22).</w:t>
      </w:r>
    </w:p>
    <w:p w14:paraId="2DB658FD" w14:textId="77777777" w:rsidR="0088184B" w:rsidRDefault="004C1EF9" w:rsidP="0088184B">
      <w:pPr>
        <w:jc w:val="center"/>
        <w:rPr>
          <w:noProof/>
        </w:rPr>
      </w:pPr>
      <w:r>
        <w:rPr>
          <w:noProof/>
        </w:rPr>
      </w:r>
      <w:r>
        <w:pict w14:anchorId="35051E8C">
          <v:rect id="Horizontal Line 5" o:spid="_x0000_s1028"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4780B588" w14:textId="77777777" w:rsidR="0088184B" w:rsidRDefault="0088184B" w:rsidP="0088184B">
      <w:pPr>
        <w:spacing w:before="480" w:after="240"/>
        <w:outlineLvl w:val="1"/>
        <w:rPr>
          <w:rFonts w:ascii="Segoe UI" w:hAnsi="Segoe UI" w:cs="Segoe UI"/>
          <w:b/>
          <w:bCs/>
          <w:color w:val="0F1115"/>
          <w:sz w:val="36"/>
          <w:szCs w:val="36"/>
        </w:rPr>
      </w:pPr>
      <w:r>
        <w:rPr>
          <w:rFonts w:ascii="Segoe UI" w:hAnsi="Segoe UI" w:cs="Segoe UI"/>
          <w:b/>
          <w:bCs/>
          <w:color w:val="0F1115"/>
          <w:sz w:val="36"/>
          <w:szCs w:val="36"/>
        </w:rPr>
        <w:t>Data availability</w:t>
      </w:r>
    </w:p>
    <w:p w14:paraId="2FC0F128" w14:textId="77777777" w:rsidR="0088184B" w:rsidRDefault="0088184B" w:rsidP="0088184B">
      <w:pPr>
        <w:spacing w:before="240" w:after="240"/>
        <w:rPr>
          <w:rFonts w:ascii="Segoe UI" w:hAnsi="Segoe UI" w:cs="Segoe UI"/>
          <w:color w:val="0F1115"/>
        </w:rPr>
      </w:pPr>
      <w:r>
        <w:rPr>
          <w:rFonts w:ascii="Segoe UI" w:hAnsi="Segoe UI" w:cs="Segoe UI"/>
          <w:color w:val="0F1115"/>
        </w:rPr>
        <w:t>All raw data used in this study are publicly available. TCGA-LUAD RNA-seq and clinical data were obtained from the NCI Genomic Data Commons (GDC) via TCGAbiolinks. CPTAC-3 LUAD RNA-seq and clinical data were obtained from the GDC via gdc-client (dataset UUIDs listed in data/raw/cptac3_luad_manifest.csv). GSE31210, GSE50081, and GSE30219 microarray and phenotype data were obtained from NCBI GEO via GEOquery. GSE72094 was examined for coverage only. No new data were generated. Processed expression matrices, all derived tables, and all figures are available at </w:t>
      </w:r>
      <w:hyperlink r:id="rId6" w:tgtFrame="_blank" w:history="1">
        <w:r>
          <w:rPr>
            <w:rStyle w:val="Hyperlink"/>
            <w:rFonts w:ascii="Segoe UI" w:hAnsi="Segoe UI" w:cs="Segoe UI"/>
            <w:bdr w:val="single" w:sz="12" w:space="0" w:color="auto" w:frame="1"/>
          </w:rPr>
          <w:t>github.com/msks2016/LUAD_signature_benchmark</w:t>
        </w:r>
      </w:hyperlink>
      <w:r>
        <w:rPr>
          <w:rFonts w:ascii="Segoe UI" w:hAnsi="Segoe UI" w:cs="Segoe UI"/>
          <w:color w:val="0F1115"/>
        </w:rPr>
        <w:t> under tag v1.1-submission.</w:t>
      </w:r>
    </w:p>
    <w:p w14:paraId="17F061B4" w14:textId="77777777" w:rsidR="0088184B" w:rsidRDefault="0088184B" w:rsidP="0088184B">
      <w:pPr>
        <w:spacing w:before="480" w:after="240"/>
        <w:outlineLvl w:val="1"/>
        <w:rPr>
          <w:rFonts w:ascii="Segoe UI" w:hAnsi="Segoe UI" w:cs="Segoe UI"/>
          <w:b/>
          <w:bCs/>
          <w:color w:val="0F1115"/>
          <w:sz w:val="36"/>
          <w:szCs w:val="36"/>
        </w:rPr>
      </w:pPr>
      <w:r>
        <w:rPr>
          <w:rFonts w:ascii="Segoe UI" w:hAnsi="Segoe UI" w:cs="Segoe UI"/>
          <w:b/>
          <w:bCs/>
          <w:color w:val="0F1115"/>
          <w:sz w:val="36"/>
          <w:szCs w:val="36"/>
        </w:rPr>
        <w:lastRenderedPageBreak/>
        <w:t>Code availability</w:t>
      </w:r>
    </w:p>
    <w:p w14:paraId="7BE0E584" w14:textId="77777777" w:rsidR="0088184B" w:rsidRDefault="0088184B" w:rsidP="0088184B">
      <w:pPr>
        <w:spacing w:before="240" w:after="240"/>
        <w:rPr>
          <w:rFonts w:ascii="Segoe UI" w:hAnsi="Segoe UI" w:cs="Segoe UI"/>
          <w:color w:val="0F1115"/>
        </w:rPr>
      </w:pPr>
      <w:r>
        <w:rPr>
          <w:rFonts w:ascii="Segoe UI" w:hAnsi="Segoe UI" w:cs="Segoe UI"/>
          <w:color w:val="0F1115"/>
        </w:rPr>
        <w:t>All analysis code is available at </w:t>
      </w:r>
      <w:hyperlink r:id="rId7" w:tgtFrame="_blank" w:history="1">
        <w:r>
          <w:rPr>
            <w:rStyle w:val="Hyperlink"/>
            <w:rFonts w:ascii="Segoe UI" w:hAnsi="Segoe UI" w:cs="Segoe UI"/>
            <w:bdr w:val="single" w:sz="12" w:space="0" w:color="auto" w:frame="1"/>
          </w:rPr>
          <w:t>github.com/msks2016/LUAD_signature_benchmark</w:t>
        </w:r>
      </w:hyperlink>
      <w:r>
        <w:rPr>
          <w:rFonts w:ascii="Segoe UI" w:hAnsi="Segoe UI" w:cs="Segoe UI"/>
          <w:color w:val="0F1115"/>
        </w:rPr>
        <w:t>. The pipeline can be reproduced from processed data using scripts/bash/run_all.sh in a clean R 4.6.1 environment with renv::restore(). Package versions are recorded in renv.lock. The specific release corresponding to this manuscript is tagged v1.1-submission.</w:t>
      </w:r>
    </w:p>
    <w:p w14:paraId="7DD202D1" w14:textId="77777777" w:rsidR="0088184B" w:rsidRDefault="004C1EF9" w:rsidP="0088184B">
      <w:pPr>
        <w:jc w:val="center"/>
        <w:rPr>
          <w:noProof/>
        </w:rPr>
      </w:pPr>
      <w:r>
        <w:rPr>
          <w:noProof/>
        </w:rPr>
      </w:r>
      <w:r>
        <w:pict w14:anchorId="56B5CAC6">
          <v:rect id="Horizontal Line 6" o:spid="_x0000_s1027"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17C27FD4" w14:textId="77777777" w:rsidR="00341AB8" w:rsidRDefault="00341AB8" w:rsidP="00341AB8">
      <w:pPr>
        <w:pStyle w:val="Heading2"/>
        <w:spacing w:before="480" w:beforeAutospacing="0" w:after="240" w:afterAutospacing="0"/>
        <w:rPr>
          <w:rFonts w:ascii="Segoe UI" w:hAnsi="Segoe UI" w:cs="Segoe UI"/>
          <w:color w:val="0F1115"/>
        </w:rPr>
      </w:pPr>
      <w:r>
        <w:rPr>
          <w:rFonts w:ascii="Segoe UI" w:hAnsi="Segoe UI" w:cs="Segoe UI"/>
          <w:color w:val="0F1115"/>
        </w:rPr>
        <w:t>Figure captions</w:t>
      </w:r>
    </w:p>
    <w:p w14:paraId="1BAE9580"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Figure 1.</w:t>
      </w:r>
      <w:r>
        <w:rPr>
          <w:rStyle w:val="apple-converted-space"/>
          <w:rFonts w:ascii="Segoe UI" w:hAnsi="Segoe UI" w:cs="Segoe UI"/>
          <w:color w:val="0F1115"/>
        </w:rPr>
        <w:t> </w:t>
      </w:r>
      <w:r>
        <w:rPr>
          <w:rFonts w:ascii="Segoe UI" w:hAnsi="Segoe UI" w:cs="Segoe UI"/>
          <w:color w:val="0F1115"/>
        </w:rPr>
        <w:t>PRISMA-style flow diagram of signature selection. Identification, screening, and inclusion of published LUAD lncRNA prognostic signatures. A total of 404 records were identified via PubMed using a systematic search restricted to publications from 2018 onwards; 404 records were screened on title and abstract after removal of duplicates; 90 full texts were reviewed; 15 signatures met the pre-specified inclusion criteria. Exclusion reasons at each stage are shown in the right-hand column. PRISMA, Preferred Reporting Items for Systematic Reviews and Meta-Analyses.</w:t>
      </w:r>
    </w:p>
    <w:p w14:paraId="13AA0CCB"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Figure 2.</w:t>
      </w:r>
      <w:r>
        <w:rPr>
          <w:rStyle w:val="apple-converted-space"/>
          <w:rFonts w:ascii="Segoe UI" w:hAnsi="Segoe UI" w:cs="Segoe UI"/>
          <w:color w:val="0F1115"/>
        </w:rPr>
        <w:t> </w:t>
      </w:r>
      <w:r>
        <w:rPr>
          <w:rFonts w:ascii="Segoe UI" w:hAnsi="Segoe UI" w:cs="Segoe UI"/>
          <w:color w:val="0F1115"/>
        </w:rPr>
        <w:t>Paired raw-score C-indexes for published LUAD lncRNA prognostic signatures in the reference cohort (TCGA-LUAD) and the independent cohort (CPTAC-3). Each point represents one signature; the x-axis shows the raw-score C-index in TCGA-LUAD and the y-axis the raw-score C-index in CPTAC-3. The dotted diagonal (y = x) indicates perfect reproduction; the horizontal dashed line at y = 0.5 indicates no discrimination. Point color indicates the CPTAC-3 classification from the expression-matched null test (blue, Inconclusive; red, Replicated). Point size is proportional to the number of genes in the signature. Vertical error bars show bootstrap 95% confidence intervals (1,000 resamples) for the CPTAC-3 C-index. This figure is descriptive; the primary metric for the transportability analysis is the log-HR per SD reported in Table 3.</w:t>
      </w:r>
    </w:p>
    <w:p w14:paraId="7DB9918C"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Figure 3.</w:t>
      </w:r>
      <w:r>
        <w:rPr>
          <w:rStyle w:val="apple-converted-space"/>
          <w:rFonts w:ascii="Segoe UI" w:hAnsi="Segoe UI" w:cs="Segoe UI"/>
          <w:color w:val="0F1115"/>
        </w:rPr>
        <w:t> </w:t>
      </w:r>
      <w:r>
        <w:rPr>
          <w:rFonts w:ascii="Segoe UI" w:hAnsi="Segoe UI" w:cs="Segoe UI"/>
          <w:color w:val="0F1115"/>
        </w:rPr>
        <w:t xml:space="preserve">Yao 2021 cross-cohort analysis. Top panel: per-cohort hazard ratios per standard deviation of the published risk score. TCGA-LUAD (development cohort; HR 1.635, 95% CI 1.419–1.883) is shown as reference only. The two cohorts where Yao 2021 is fully evaluable under the primary 100% coverage rule — CPTAC-3 (HR 1.516, 95% CI 1.145–2.007; 38 events) and GSE31210 (HR 1.687, 95% CI 1.242–2.292; 35 events) — are pooled with random-effects REML to give an exploratory two-cohort pooled HR per SD of 1.592 (95% CI 1.294–1.957; k = 2; 73 events; I² = 0% [uninformative at k = 2]). This two-cohort analysis does not satisfy the OSF registration's requirement of ≥3 independent cohorts and is therefore reported as exploratory rather than preregistered. Bottom panel (preregistered pooling analysis): two additional GPL570 cohorts </w:t>
      </w:r>
      <w:r>
        <w:rPr>
          <w:rFonts w:ascii="Segoe UI" w:hAnsi="Segoe UI" w:cs="Segoe UI"/>
          <w:color w:val="0F1115"/>
        </w:rPr>
        <w:lastRenderedPageBreak/>
        <w:t>(GSE50081, HR 1.348, 95% CI 1.030–1.763, 51 events; GSE30219, HR 1.278, 95% CI 0.950–1.719, 43 events), which lack the retired placeholder gene MGC32805 (published coefficient −0.263) and are evaluable only under the pre-specified 80% coverage rule, are added to give a four-cohort pooled HR per SD of 1.442 (95% CI 1.249–1.664; k = 4; 167 events; I² = 0%). This four-cohort analysis satisfies the OSF registration's ≥3-cohort pooling requirement and is the preregistered pooled analysis. Yao 2021 was not used in any of the four independent cohorts by its original authors; the pooling rule (≥3 independent cohorts, TCGA-LUAD not the development cohort) is satisfied for the four-cohort specification, which is the preregistered pooled analysis. Leave-one-cohort-out sensitivity in the four-cohort analysis gave pooled HRs of 1.380–1.496, all with lower bounds above 1. HR, hazard ratio; CI, confidence interval.</w:t>
      </w:r>
    </w:p>
    <w:p w14:paraId="5311A4D7"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Figure 4.</w:t>
      </w:r>
      <w:r>
        <w:rPr>
          <w:rStyle w:val="apple-converted-space"/>
          <w:rFonts w:ascii="Segoe UI" w:hAnsi="Segoe UI" w:cs="Segoe UI"/>
          <w:color w:val="0F1115"/>
        </w:rPr>
        <w:t> </w:t>
      </w:r>
      <w:r>
        <w:rPr>
          <w:rFonts w:ascii="Segoe UI" w:hAnsi="Segoe UI" w:cs="Segoe UI"/>
          <w:color w:val="0F1115"/>
        </w:rPr>
        <w:t>Paired hazard ratios per standard deviation across cohorts for signatures with two evaluable cohorts. Each panel shows one signature; hazard ratios with 95% confidence intervals are plotted for each evaluable cohort. Cohorts are color-coded: TCGA-LUAD (blue), CPTAC-3 (red), GSE31210 (orange). The dashed horizontal line at HR = 1 indicates no effect. Signatures are ordered by their hazard ratio in TCGA-LUAD. TCGA-LUAD is the development cohort for every signature and is shown for reference only; the two primary independent cohorts are CPTAC-3 and GSE31210. No pooled estimate is displayed in this panel. For Yao 2021, which is evaluable in four independent cohorts, the individual estimates and pooled estimate are shown in the forest plot in Figure 3. HR, hazard ratio; CI, confidence interval.</w:t>
      </w:r>
    </w:p>
    <w:p w14:paraId="66EDA50B"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Figure S1.</w:t>
      </w:r>
      <w:r>
        <w:rPr>
          <w:rStyle w:val="apple-converted-space"/>
          <w:rFonts w:ascii="Segoe UI" w:hAnsi="Segoe UI" w:cs="Segoe UI"/>
          <w:color w:val="0F1115"/>
        </w:rPr>
        <w:t> </w:t>
      </w:r>
      <w:r>
        <w:rPr>
          <w:rFonts w:ascii="Segoe UI" w:hAnsi="Segoe UI" w:cs="Segoe UI"/>
          <w:color w:val="0F1115"/>
        </w:rPr>
        <w:t>Kaplan–Meier curves for Paper141_Yang2023 in CPTAC-3. Patients were stratified into high-risk and low-risk groups by median risk score. The log-rank p-value and the number at risk over time are shown within each panel. [Repeat this caption template for Supplementary Figures S1 through S10, replacing the signature name each time.]</w:t>
      </w:r>
    </w:p>
    <w:p w14:paraId="45E18823" w14:textId="77777777" w:rsidR="00341AB8" w:rsidRDefault="004C1EF9" w:rsidP="00341AB8">
      <w:pPr>
        <w:spacing w:before="480" w:after="480"/>
      </w:pPr>
      <w:r>
        <w:rPr>
          <w:noProof/>
        </w:rPr>
        <w:pict w14:anchorId="0B812F93">
          <v:rect id="_x0000_i1027" alt="" style="width:468pt;height:.05pt;mso-width-percent:0;mso-height-percent:0;mso-width-percent:0;mso-height-percent:0" o:hralign="center" o:hrstd="t" o:hr="t" fillcolor="#a0a0a0" stroked="f"/>
        </w:pict>
      </w:r>
    </w:p>
    <w:p w14:paraId="78308B31" w14:textId="77777777" w:rsidR="00341AB8" w:rsidRDefault="00341AB8" w:rsidP="00341AB8">
      <w:pPr>
        <w:pStyle w:val="Heading2"/>
        <w:spacing w:before="480" w:beforeAutospacing="0" w:after="240" w:afterAutospacing="0"/>
        <w:rPr>
          <w:rFonts w:ascii="Segoe UI" w:hAnsi="Segoe UI" w:cs="Segoe UI"/>
          <w:color w:val="0F1115"/>
        </w:rPr>
      </w:pPr>
      <w:r>
        <w:rPr>
          <w:rFonts w:ascii="Segoe UI" w:hAnsi="Segoe UI" w:cs="Segoe UI"/>
          <w:color w:val="0F1115"/>
        </w:rPr>
        <w:t>Table captions</w:t>
      </w:r>
    </w:p>
    <w:p w14:paraId="7958C6E4"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Table 1.</w:t>
      </w:r>
      <w:r>
        <w:rPr>
          <w:rStyle w:val="apple-converted-space"/>
          <w:rFonts w:ascii="Segoe UI" w:hAnsi="Segoe UI" w:cs="Segoe UI"/>
          <w:color w:val="0F1115"/>
        </w:rPr>
        <w:t> </w:t>
      </w:r>
      <w:r>
        <w:rPr>
          <w:rFonts w:ascii="Segoe UI" w:hAnsi="Segoe UI" w:cs="Segoe UI"/>
          <w:color w:val="0F1115"/>
        </w:rPr>
        <w:t>Characteristics of the 15 published LUAD lncRNA prognostic signatures evaluated in this study. Columns: signature identifier, first author, publication year, total number of genes, number of protective coefficients (coefficient &lt; 0), and number of risk-promoting coefficients (coefficient &gt; 0). Signatures are ordered alphabetically by identifier. Coefficients were taken verbatim from the original publications; no refitting was performed.</w:t>
      </w:r>
    </w:p>
    <w:p w14:paraId="5DD30ED7"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lastRenderedPageBreak/>
        <w:t>Table 2.</w:t>
      </w:r>
      <w:r>
        <w:rPr>
          <w:rStyle w:val="apple-converted-space"/>
          <w:rFonts w:ascii="Segoe UI" w:hAnsi="Segoe UI" w:cs="Segoe UI"/>
          <w:color w:val="0F1115"/>
        </w:rPr>
        <w:t> </w:t>
      </w:r>
      <w:r>
        <w:rPr>
          <w:rFonts w:ascii="Segoe UI" w:hAnsi="Segoe UI" w:cs="Segoe UI"/>
          <w:color w:val="0F1115"/>
        </w:rPr>
        <w:t>Characteristics of the LUAD cohorts used in this study. Columns: cohort name, expression platform, number of samples included in the primary analysis, number of deaths, median follow-up in months, percentage of patients with stage I–II disease, number of signatures evaluable under the primary (100%) coverage rule, and the role of the cohort in the study design (reference, primary independent, or additional independent). Cohorts are ordered by role. Percentages were computed among patients with non-missing stage. The two primary independent cohorts combined contained 73 events (38 in CPTAC-3 and 35 in GSE31210). Two additional independent GPL570 cohorts, GSE50081 (n = 127 evaluable LUAD samples, 51 deaths) and GSE30219 (n = 83 evaluable LUAD samples, 43 deaths), contributed to the Yao 2021 four-cohort sensitivity analysis under the pre-specified 80% coverage sensitivity rule; together with CPTAC-3 and GSE31210, they bring the Yao 2021 pooled independent event count to 167. Neither additional cohort was used by Yao 2021's original authors.</w:t>
      </w:r>
    </w:p>
    <w:p w14:paraId="04ED2B3F"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Table 3.</w:t>
      </w:r>
      <w:r>
        <w:rPr>
          <w:rStyle w:val="apple-converted-space"/>
          <w:rFonts w:ascii="Segoe UI" w:hAnsi="Segoe UI" w:cs="Segoe UI"/>
          <w:color w:val="0F1115"/>
        </w:rPr>
        <w:t> </w:t>
      </w:r>
      <w:r>
        <w:rPr>
          <w:rFonts w:ascii="Segoe UI" w:hAnsi="Segoe UI" w:cs="Segoe UI"/>
          <w:color w:val="0F1115"/>
        </w:rPr>
        <w:t>Transportability analysis by signature-cohort pair. Log-HR per standard deviation of the published risk score in each of the 11 covered signature-cohort pairs under the primary 100% coverage rule (CPTAC-3, 9 evaluable signatures; GSE31210, 2 evaluable signatures). For each pair, a Cox model was fit with the standardized published risk score as the only covariate; the coefficient of that score is the log-HR per SD. Columns: signature identifier, cohort, number of genes in the signature, raw-score C-index, log-HR per SD, standard error of the coefficient, hazard ratio per SD (with 95% CI), gene-refit C-indexes (apparent and optimism-corrected), observed divergence flag, expected divergence probability under an expression-matched null, and pair interpretation. The pooled log-HR per SD across the 9 contributing pairs was 0.322 (95% CI −0.062 to 0.677), classified as Inconclusive under pre-specified decision rules (δ = log 1.25). Two pairs (Paper151 and Paper159 in CPTAC-3) returned a constant linear predictor and were excluded from the pooled mean by the pre-specified variance guard; they are reported with NA for the log-HR per SD column. The remaining 9 pairs (CPTAC-3: 7; GSE31210: 2) entered the pooled log-HR per SD. The paired raw-score and Cox-model C-indexes for all reference-independent pairs are reported separately in Supplementary Table S10. The Yao 2021 signature (Paper62) contributes to the aggregate as two separate per-cohort pairs (CPTAC-3 and GSE31210); the cross-cohort Yao meta-analysis reported separately in Supplementary Table S6 and Figure 3 uses a different cohort set and is not part of the 9-pair aggregate. Two Yao 2021 pooled estimates are reported separately: a preregistered four-cohort pooled analysis under the pre-specified 80% coverage rule, which satisfies the OSF registration's ≥3-cohort pooling requirement (HR per SD 1.442, 95% CI 1.249–1.664; k = 4; 167 events; I² = 0%); and an exploratory two-cohort pooled estimate under the primary 100% coverage rule, which does not satisfy the registered ≥3-cohort requirement (HR per SD 1.592, 95% CI 1.294–1.957; k = 2; 73 events; I² = 0% [uninformative at k = 2]).</w:t>
      </w:r>
    </w:p>
    <w:p w14:paraId="19A0BAE6"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lastRenderedPageBreak/>
        <w:t>Table 4.</w:t>
      </w:r>
      <w:r>
        <w:rPr>
          <w:rStyle w:val="apple-converted-space"/>
          <w:rFonts w:ascii="Segoe UI" w:hAnsi="Segoe UI" w:cs="Segoe UI"/>
          <w:color w:val="0F1115"/>
        </w:rPr>
        <w:t> </w:t>
      </w:r>
      <w:r>
        <w:rPr>
          <w:rFonts w:ascii="Segoe UI" w:hAnsi="Segoe UI" w:cs="Segoe UI"/>
          <w:color w:val="0F1115"/>
        </w:rPr>
        <w:t>Stage-adjusted prognostic value of each signature in CPTAC-3. For each of the 11 signatures evaluable in CPTAC-3 under the 80% sensitivity rule, a stage-only Cox model was compared with a stage-plus-signature Cox model by likelihood-ratio test and change in C-index. Columns: signature identifier, number of patients, number of events, C-index of the stage-only model, C-index of the stage-plus-signature model, change in C-index (ΔC-index), likelihood-ratio test p-value, Benjamini–Hochberg-adjusted p-value, adjusted hazard ratio per SD with 95% CI, direction of the adjusted hazard ratio (risk-increasing or protective), and categorical result (Adds value / No added value). Age was excluded from the CPTAC-3 model because it was missing for 98% of patients.</w:t>
      </w:r>
    </w:p>
    <w:p w14:paraId="462EC712"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Table 5.</w:t>
      </w:r>
      <w:r>
        <w:rPr>
          <w:rStyle w:val="apple-converted-space"/>
          <w:rFonts w:ascii="Segoe UI" w:hAnsi="Segoe UI" w:cs="Segoe UI"/>
          <w:color w:val="0F1115"/>
        </w:rPr>
        <w:t> </w:t>
      </w:r>
      <w:r>
        <w:rPr>
          <w:rFonts w:ascii="Segoe UI" w:hAnsi="Segoe UI" w:cs="Segoe UI"/>
          <w:color w:val="0F1115"/>
        </w:rPr>
        <w:t>Summary of robustness checks. Five sensitivity analyses were performed on the primary results: (i) coverage rule — evaluability at maximum missing-gene thresholds of 10%, 20%, and 30%; (ii) stage restriction — recomputation of all metrics after excluding stage IV patients and after restricting to stage I–II only; (iii) leave-one-cohort-out — refitting the Yao 2021 four-cohort meta-analysis with each cohort excluded in turn; (iv) early-death exclusion — removing deaths within three months of diagnosis; (v) expression scaling — log-HR per SD computed with raw log2 versus z-scored expression. Columns: check name, detail of the check, and finding. All checks preserved the primary pattern; the maximum change in log-HR per SD across any subset was 0.04.</w:t>
      </w:r>
    </w:p>
    <w:p w14:paraId="0B97DC40" w14:textId="77777777" w:rsidR="00341AB8" w:rsidRDefault="004C1EF9" w:rsidP="00341AB8">
      <w:pPr>
        <w:spacing w:before="480" w:after="480"/>
      </w:pPr>
      <w:r>
        <w:rPr>
          <w:noProof/>
        </w:rPr>
        <w:pict w14:anchorId="760ACF60">
          <v:rect id="_x0000_i1026" alt="" style="width:468pt;height:.05pt;mso-width-percent:0;mso-height-percent:0;mso-width-percent:0;mso-height-percent:0" o:hralign="center" o:hrstd="t" o:hr="t" fillcolor="#a0a0a0" stroked="f"/>
        </w:pict>
      </w:r>
    </w:p>
    <w:p w14:paraId="5BE94D81" w14:textId="77777777" w:rsidR="00341AB8" w:rsidRDefault="00341AB8" w:rsidP="00341AB8">
      <w:pPr>
        <w:pStyle w:val="Heading2"/>
        <w:spacing w:before="480" w:beforeAutospacing="0" w:after="240" w:afterAutospacing="0"/>
        <w:rPr>
          <w:rFonts w:ascii="Segoe UI" w:hAnsi="Segoe UI" w:cs="Segoe UI"/>
          <w:color w:val="0F1115"/>
        </w:rPr>
      </w:pPr>
      <w:r>
        <w:rPr>
          <w:rFonts w:ascii="Segoe UI" w:hAnsi="Segoe UI" w:cs="Segoe UI"/>
          <w:color w:val="0F1115"/>
        </w:rPr>
        <w:t>Supplementary table captions</w:t>
      </w:r>
    </w:p>
    <w:p w14:paraId="204F27EE"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w:t>
      </w:r>
      <w:r>
        <w:rPr>
          <w:rStyle w:val="apple-converted-space"/>
          <w:rFonts w:ascii="Segoe UI" w:hAnsi="Segoe UI" w:cs="Segoe UI"/>
          <w:color w:val="0F1115"/>
        </w:rPr>
        <w:t> </w:t>
      </w:r>
      <w:r>
        <w:rPr>
          <w:rFonts w:ascii="Segoe UI" w:hAnsi="Segoe UI" w:cs="Segoe UI"/>
          <w:color w:val="0F1115"/>
        </w:rPr>
        <w:t>Expression-matched null test results for the 9 evaluable signatures in CPTAC-3 (primary 100% coverage rule). For each signature: number of genes, observed raw-score C-index, bootstrap 95% confidence interval, expression-matched null range (2.5th–97.5th percentile over 2,000 draws), two-sided empirical p-value, Holm-adjusted p-value, and three-way classification (Replicated / Contradicted / Inconclusive).</w:t>
      </w:r>
    </w:p>
    <w:p w14:paraId="17BB95AD"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S1b.</w:t>
      </w:r>
      <w:r>
        <w:rPr>
          <w:rStyle w:val="apple-converted-space"/>
          <w:rFonts w:ascii="Segoe UI" w:hAnsi="Segoe UI" w:cs="Segoe UI"/>
          <w:color w:val="0F1115"/>
        </w:rPr>
        <w:t> </w:t>
      </w:r>
      <w:r>
        <w:rPr>
          <w:rFonts w:ascii="Segoe UI" w:hAnsi="Segoe UI" w:cs="Segoe UI"/>
          <w:color w:val="0F1115"/>
        </w:rPr>
        <w:t>Sensitivity analysis: expression-matched null test results under the 80% coverage rule (11 evaluable signatures in CPTAC-3). Columns as in Supplementary Table S1.</w:t>
      </w:r>
    </w:p>
    <w:p w14:paraId="1269DAE1"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S3.</w:t>
      </w:r>
      <w:r>
        <w:rPr>
          <w:rStyle w:val="apple-converted-space"/>
          <w:rFonts w:ascii="Segoe UI" w:hAnsi="Segoe UI" w:cs="Segoe UI"/>
          <w:color w:val="0F1115"/>
        </w:rPr>
        <w:t> </w:t>
      </w:r>
      <w:r>
        <w:rPr>
          <w:rFonts w:ascii="Segoe UI" w:hAnsi="Segoe UI" w:cs="Segoe UI"/>
          <w:color w:val="0F1115"/>
        </w:rPr>
        <w:t>Expression-matched null test results for the 2 evaluable signatures in GSE31210. Columns as in Supplementary Table S1.</w:t>
      </w:r>
    </w:p>
    <w:p w14:paraId="01FE92BA"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lastRenderedPageBreak/>
        <w:t>Supplementary Table S4.</w:t>
      </w:r>
      <w:r>
        <w:rPr>
          <w:rStyle w:val="apple-converted-space"/>
          <w:rFonts w:ascii="Segoe UI" w:hAnsi="Segoe UI" w:cs="Segoe UI"/>
          <w:color w:val="0F1115"/>
        </w:rPr>
        <w:t> </w:t>
      </w:r>
      <w:r>
        <w:rPr>
          <w:rFonts w:ascii="Segoe UI" w:hAnsi="Segoe UI" w:cs="Segoe UI"/>
          <w:color w:val="0F1115"/>
        </w:rPr>
        <w:t>Sensitivity of signature evaluability to maximum missing-gene threshold (10%, 20%, 30%). For each signature: percentage of genes present in CPTAC-3, and evaluability at each threshold.</w:t>
      </w:r>
    </w:p>
    <w:p w14:paraId="1E4FAAC3"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S5.</w:t>
      </w:r>
      <w:r>
        <w:rPr>
          <w:rStyle w:val="apple-converted-space"/>
          <w:rFonts w:ascii="Segoe UI" w:hAnsi="Segoe UI" w:cs="Segoe UI"/>
          <w:color w:val="0F1115"/>
        </w:rPr>
        <w:t> </w:t>
      </w:r>
      <w:r>
        <w:rPr>
          <w:rFonts w:ascii="Segoe UI" w:hAnsi="Segoe UI" w:cs="Segoe UI"/>
          <w:color w:val="0F1115"/>
        </w:rPr>
        <w:t>Stage-restricted metrics for CPTAC-3. For each signature: log-HR per SD, hazard ratio per SD, and event count, computed on (i) all patients, (ii) patients excluding stage IV, and (iii) patients with stage I–II only.</w:t>
      </w:r>
    </w:p>
    <w:p w14:paraId="7156AF5D"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S6.</w:t>
      </w:r>
      <w:r>
        <w:rPr>
          <w:rStyle w:val="apple-converted-space"/>
          <w:rFonts w:ascii="Segoe UI" w:hAnsi="Segoe UI" w:cs="Segoe UI"/>
          <w:color w:val="0F1115"/>
        </w:rPr>
        <w:t> </w:t>
      </w:r>
      <w:r>
        <w:rPr>
          <w:rFonts w:ascii="Segoe UI" w:hAnsi="Segoe UI" w:cs="Segoe UI"/>
          <w:color w:val="0F1115"/>
        </w:rPr>
        <w:t>Yao 2021 cross-cohort meta-analysis. Per-cohort and pooled hazard ratios per standard deviation of the published risk score in the Yao 2021 signature across the independent cohorts (CPTAC-3, GSE31210, GSE50081, GSE30219) and the development cohort (TCGA-LUAD, reference only, not pooled), under both the preregistered 80% coverage pooling analysis (all four independent cohorts) and an exploratory two-cohort analysis under the primary 100% coverage rule (CPTAC-3 + GSE31210). Published coefficients were applied verbatim to per-gene z-scored expression; the retired placeholder gene MGC32805 was omitted in the two cohorts where it is absent from the expression matrix (GSE50081, GSE30219) and retained in the three cohorts where it is present as a row name (TCGA-LUAD, CPTAC-3, GSE31210). Pooling was performed with random-effects REML. Leave-one-cohort-out sensitivity was computed for each held-out cohort. Columns: cohort, n patients, n events, genes present, coverage percentage, log-HR per SD, SE of the log-HR, HR per SD (95% CI), C-index (95% CI), pooled flag. The preregistered pooled analysis is the four-cohort estimate under the pre-specified 80% coverage rule (all four independent cohorts), which satisfies the OSF registration's ≥3-cohort pooling requirement: pooled log-HR per SD 0.366 (95% CI 0.222–0.509), pooled HR per SD 1.442 (95% CI 1.249–1.664), k = 4, 167 events, I² = 0%. An exploratory two-cohort pooled estimate under the primary 100% coverage rule (CPTAC-3 + GSE31210) is reported separately: pooled log-HR per SD 0.465 (95% CI 0.258–0.672), pooled HR per SD 1.592 (95% CI 1.294–1.957), k = 2, 73 events, I² = 0% (uninformative at k = 2). This two-cohort analysis does not satisfy the OSF registration's ≥3-cohort pooling requirement and is reported as exploratory rather than preregistered. Leave-one-out pooled HRs for the four-cohort analysis range from 1.380 (excluding GSE31210) to 1.496 (excluding GSE30219); all have lower 95% CI bounds above 1. Yao 2021 was not used in any of the four independent cohorts by its original authors; the development cohort was TCGA-LUAD and the validation cohorts were GSE3141 + GSE37745.</w:t>
      </w:r>
    </w:p>
    <w:p w14:paraId="2592804B"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S7.</w:t>
      </w:r>
      <w:r>
        <w:rPr>
          <w:rStyle w:val="apple-converted-space"/>
          <w:rFonts w:ascii="Segoe UI" w:hAnsi="Segoe UI" w:cs="Segoe UI"/>
          <w:color w:val="0F1115"/>
        </w:rPr>
        <w:t> </w:t>
      </w:r>
      <w:r>
        <w:rPr>
          <w:rFonts w:ascii="Segoe UI" w:hAnsi="Segoe UI" w:cs="Segoe UI"/>
          <w:color w:val="0F1115"/>
        </w:rPr>
        <w:t>Sensitivity of results to exclusion of deaths within three months of diagnosis. For each signature: log-HR per SD, hazard ratio per SD, and event count, computed on all patients and on patients after excluding deaths within three months.</w:t>
      </w:r>
    </w:p>
    <w:p w14:paraId="00507A51"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lastRenderedPageBreak/>
        <w:t>Supplementary Table S8.</w:t>
      </w:r>
      <w:r>
        <w:rPr>
          <w:rStyle w:val="apple-converted-space"/>
          <w:rFonts w:ascii="Segoe UI" w:hAnsi="Segoe UI" w:cs="Segoe UI"/>
          <w:color w:val="0F1115"/>
        </w:rPr>
        <w:t> </w:t>
      </w:r>
      <w:r>
        <w:rPr>
          <w:rFonts w:ascii="Segoe UI" w:hAnsi="Segoe UI" w:cs="Segoe UI"/>
          <w:color w:val="0F1115"/>
        </w:rPr>
        <w:t>Power simulation at n = 150 patients and 38 events. For each true C-index from 0.50 to 0.72, the corresponding Cox coefficient and the estimated statistical power to detect significance (two-sided p &lt; 0.05) from 500 simulations per effect size.</w:t>
      </w:r>
    </w:p>
    <w:p w14:paraId="2A712A54"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S9.</w:t>
      </w:r>
      <w:r>
        <w:rPr>
          <w:rStyle w:val="apple-converted-space"/>
          <w:rFonts w:ascii="Segoe UI" w:hAnsi="Segoe UI" w:cs="Segoe UI"/>
          <w:color w:val="0F1115"/>
        </w:rPr>
        <w:t> </w:t>
      </w:r>
      <w:r>
        <w:rPr>
          <w:rFonts w:ascii="Segoe UI" w:hAnsi="Segoe UI" w:cs="Segoe UI"/>
          <w:color w:val="0F1115"/>
        </w:rPr>
        <w:t>TCGA-LUAD apparent performance of all 15 signatures. Columns: signature identifier, number of genes, number of genes present, missing-gene status, hazard ratio per SD with 95% CI, C-index, and log-rank p-value.</w:t>
      </w:r>
    </w:p>
    <w:p w14:paraId="52719522"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S10.</w:t>
      </w:r>
      <w:r>
        <w:rPr>
          <w:rStyle w:val="apple-converted-space"/>
          <w:rFonts w:ascii="Segoe UI" w:hAnsi="Segoe UI" w:cs="Segoe UI"/>
          <w:color w:val="0F1115"/>
        </w:rPr>
        <w:t> </w:t>
      </w:r>
      <w:r>
        <w:rPr>
          <w:rFonts w:ascii="Segoe UI" w:hAnsi="Segoe UI" w:cs="Segoe UI"/>
          <w:color w:val="0F1115"/>
        </w:rPr>
        <w:t>Paired raw-score and Cox-model C-indexes for all signature-cohort pairs. Each row is one signature-cohort pair across TCGA-LUAD (reference), CPTAC-3 (independent RNA-seq), and GSE31210 (independent microarray). Columns: signature identifier, cohort, platform, number of patients, number of events, raw-score C-index, Cox-model C-index, hazard ratio per SD (with 95% CI), direction consistent with published report, raw-minus-Cox difference, and a neutral flag indicating whether the raw-score C-index was below 0.5 while the Cox-model C-index was above 0.5. Because the Cox model contains the published risk score as its only covariate, its linear predictor is a scalar multiple of the published score and the Cox-model C-index is identical to the raw-score C-index when the fitted coefficient is positive and reversed when negative; this column is included as a direction-consistency check, not as an independent discrimination metric.</w:t>
      </w:r>
    </w:p>
    <w:p w14:paraId="6A731F8D"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S11.</w:t>
      </w:r>
      <w:r>
        <w:rPr>
          <w:rStyle w:val="apple-converted-space"/>
          <w:rFonts w:ascii="Segoe UI" w:hAnsi="Segoe UI" w:cs="Segoe UI"/>
          <w:color w:val="0F1115"/>
        </w:rPr>
        <w:t> </w:t>
      </w:r>
      <w:r>
        <w:rPr>
          <w:rFonts w:ascii="Segoe UI" w:hAnsi="Segoe UI" w:cs="Segoe UI"/>
          <w:color w:val="0F1115"/>
        </w:rPr>
        <w:t>Deviations from the original pre-registration. Chronological record of additions, modifications, and clarifications made during the study relative to the original OSF pre-registration, including the addition of the CPTAC-3 cohort, the direction-consistency secondary outcome, the transportability analysis with pre-specified decision rules, the three pipeline corrections (C-index direction, expression scaling, and gene-identifier resolution), the expansion of the reporting-completeness analysis to 76 papers with a broader denominator, the independent second-coder verification of the reporting-completeness coding, and the blinded text-versus-table recheck on the 66 papers outside the original dual-coding sample, all documented in the deviations log.</w:t>
      </w:r>
    </w:p>
    <w:p w14:paraId="5D8E5B22"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S12.</w:t>
      </w:r>
      <w:r>
        <w:rPr>
          <w:rStyle w:val="apple-converted-space"/>
          <w:rFonts w:ascii="Segoe UI" w:hAnsi="Segoe UI" w:cs="Segoe UI"/>
          <w:color w:val="0F1115"/>
        </w:rPr>
        <w:t> </w:t>
      </w:r>
      <w:r>
        <w:rPr>
          <w:rFonts w:ascii="Segoe UI" w:hAnsi="Segoe UI" w:cs="Segoe UI"/>
          <w:color w:val="0F1115"/>
        </w:rPr>
        <w:t>Expression-scaling sensitivity. Log-HR per SD under raw log2 expression versus z-scored expression for each independent signature-cohort pair; the mean absolute difference between scalings is reported.</w:t>
      </w:r>
    </w:p>
    <w:p w14:paraId="394B0B4E"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S13.</w:t>
      </w:r>
      <w:r>
        <w:rPr>
          <w:rStyle w:val="apple-converted-space"/>
          <w:rFonts w:ascii="Segoe UI" w:hAnsi="Segoe UI" w:cs="Segoe UI"/>
          <w:color w:val="0F1115"/>
        </w:rPr>
        <w:t> </w:t>
      </w:r>
      <w:r>
        <w:rPr>
          <w:rFonts w:ascii="Segoe UI" w:hAnsi="Segoe UI" w:cs="Segoe UI"/>
          <w:color w:val="0F1115"/>
        </w:rPr>
        <w:t xml:space="preserve">Yao 2021 cohort overlap check. Cross-reference between the cohorts used in the original Yao 2021 development and validation analyses and the cohorts used in this benchmark (TCGA-LUAD, CPTAC-3, GSE31210, GSE50081, GSE30219). Columns: cohort, platform, n, used by Yao 2021 (yes/no), role in Yao 2021 </w:t>
      </w:r>
      <w:r>
        <w:rPr>
          <w:rFonts w:ascii="Segoe UI" w:hAnsi="Segoe UI" w:cs="Segoe UI"/>
          <w:color w:val="0F1115"/>
        </w:rPr>
        <w:lastRenderedPageBreak/>
        <w:t>(development / validation / not used), role in this benchmark (reference / independent / not used). Yao 2021's original development cohort was TCGA-LUAD and its validation cohorts were GSE3141 + GSE37745; none of the four independent cohorts in this benchmark was used by Yao 2021.</w:t>
      </w:r>
    </w:p>
    <w:p w14:paraId="0EFD9504"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S14.</w:t>
      </w:r>
      <w:r>
        <w:rPr>
          <w:rStyle w:val="apple-converted-space"/>
          <w:rFonts w:ascii="Segoe UI" w:hAnsi="Segoe UI" w:cs="Segoe UI"/>
          <w:color w:val="0F1115"/>
        </w:rPr>
        <w:t> </w:t>
      </w:r>
      <w:r>
        <w:rPr>
          <w:rFonts w:ascii="Segoe UI" w:hAnsi="Segoe UI" w:cs="Segoe UI"/>
          <w:color w:val="0F1115"/>
        </w:rPr>
        <w:t>Yao 2021 fixed-effect versus random-effects meta-analysis comparison. For the four independent cohorts (CPTAC-3, GSE31210, GSE50081, GSE30219): pooled hazard ratio per SD, 95% confidence interval, and I² under (i) a fixed-effect model and (ii) a random-effects model (REML). The main text reports the random-effects estimate; the fixed-effect estimate is provided to show that the pooled point estimate and CI are not materially sensitive to the choice of model.</w:t>
      </w:r>
    </w:p>
    <w:p w14:paraId="314A8096"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S15.</w:t>
      </w:r>
      <w:r>
        <w:rPr>
          <w:rStyle w:val="apple-converted-space"/>
          <w:rFonts w:ascii="Segoe UI" w:hAnsi="Segoe UI" w:cs="Segoe UI"/>
          <w:color w:val="0F1115"/>
        </w:rPr>
        <w:t> </w:t>
      </w:r>
      <w:r>
        <w:rPr>
          <w:rFonts w:ascii="Segoe UI" w:hAnsi="Segoe UI" w:cs="Segoe UI"/>
          <w:color w:val="0F1115"/>
        </w:rPr>
        <w:t>Yao 2021 leave-one-gene-out sensitivity analysis. Full-signature and leave-one-gene-out hazard ratios per standard deviation of the published risk score in the four independent cohorts. Risk scores were computed as the sum of the published coefficients multiplied by per-gene z-scored expression within each cohort, following the pre-specified formula in the OSF registration (Indices §1: risk_score = Σᵢ βᵢ · z(exprᵢ)). Columns: signature identifier, cohort, dropped gene, hazard ratio per SD, lower and upper 95% CI bounds, number of patients, number of events. No single-gene removal shifts the pooled HR by more than 10%, indicating that no single gene drives the pooled estimate reported in Figure 3.</w:t>
      </w:r>
    </w:p>
    <w:p w14:paraId="1233D4EF"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S16.</w:t>
      </w:r>
      <w:r>
        <w:rPr>
          <w:rStyle w:val="apple-converted-space"/>
          <w:rFonts w:ascii="Segoe UI" w:hAnsi="Segoe UI" w:cs="Segoe UI"/>
          <w:color w:val="0F1115"/>
        </w:rPr>
        <w:t> </w:t>
      </w:r>
      <w:r>
        <w:rPr>
          <w:rFonts w:ascii="Segoe UI" w:hAnsi="Segoe UI" w:cs="Segoe UI"/>
          <w:color w:val="0F1115"/>
        </w:rPr>
        <w:t>Added prognostic value beyond stage (H2) for the Yao 2021 signature in GSE31210. Stage-only versus stage-plus-signature Cox models; ΔC-index; likelihood-ratio test p-value; adjusted hazard ratio per SD with 95% CI; direction of the adjusted HR. Age is unavailable for GSE31210 and is therefore not included in either model.</w:t>
      </w:r>
    </w:p>
    <w:p w14:paraId="697C9184"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S17.</w:t>
      </w:r>
      <w:r>
        <w:rPr>
          <w:rStyle w:val="apple-converted-space"/>
          <w:rFonts w:ascii="Segoe UI" w:hAnsi="Segoe UI" w:cs="Segoe UI"/>
          <w:color w:val="0F1115"/>
        </w:rPr>
        <w:t> </w:t>
      </w:r>
      <w:r>
        <w:rPr>
          <w:rFonts w:ascii="Segoe UI" w:hAnsi="Segoe UI" w:cs="Segoe UI"/>
          <w:color w:val="0F1115"/>
        </w:rPr>
        <w:t>Expression-matched random-gene null test for the Yao 2021 signature in GSE31210. 2,000 draws; null C-index 2.5th–97.5th percentile range; observed C-index; empirical two-sided p-value. Provided to accompany the CPTAC-3 result for the same signature and to complete the per-cohort null-test record.</w:t>
      </w:r>
    </w:p>
    <w:p w14:paraId="6AE753BC"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S18.</w:t>
      </w:r>
      <w:r>
        <w:rPr>
          <w:rStyle w:val="apple-converted-space"/>
          <w:rFonts w:ascii="Segoe UI" w:hAnsi="Segoe UI" w:cs="Segoe UI"/>
          <w:color w:val="0F1115"/>
        </w:rPr>
        <w:t> </w:t>
      </w:r>
      <w:r>
        <w:rPr>
          <w:rFonts w:ascii="Segoe UI" w:hAnsi="Segoe UI" w:cs="Segoe UI"/>
          <w:color w:val="0F1115"/>
        </w:rPr>
        <w:t>Yao 2021 risk score versus a proliferation score in the independent cohorts. For each cohort separately: Spearman correlation between the Yao 2021 risk score and a published proliferation signature; univariable Cox HR per SD for each score; and the change in C-index when the proliferation score is added to a model already containing the Yao 2021 score. Provided to test whether the Yao 2021 signal is simply a proliferation proxy.</w:t>
      </w:r>
    </w:p>
    <w:p w14:paraId="47844AE2"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S19.</w:t>
      </w:r>
      <w:r>
        <w:rPr>
          <w:rStyle w:val="apple-converted-space"/>
          <w:rFonts w:ascii="Segoe UI" w:hAnsi="Segoe UI" w:cs="Segoe UI"/>
          <w:color w:val="0F1115"/>
        </w:rPr>
        <w:t> </w:t>
      </w:r>
      <w:r>
        <w:rPr>
          <w:rFonts w:ascii="Segoe UI" w:hAnsi="Segoe UI" w:cs="Segoe UI"/>
          <w:color w:val="0F1115"/>
        </w:rPr>
        <w:t xml:space="preserve">GPL570 probe mapping for the seven Yao 2021 signature genes. For each gene: published symbol, current symbol after alias resolution, Ensembl </w:t>
      </w:r>
      <w:r>
        <w:rPr>
          <w:rFonts w:ascii="Segoe UI" w:hAnsi="Segoe UI" w:cs="Segoe UI"/>
          <w:color w:val="0F1115"/>
        </w:rPr>
        <w:lastRenderedPageBreak/>
        <w:t>ID, Affymetrix probe ID(s) on GPL570, mapping status, mean log2 expression in GSE31210, and whether the gene contributed to the signature score under the primary or sensitivity coverage rule. For each gene, probe presence in the cohort matrix was verified and probe signal was summarized (mean, SD, min–max) to confirm that the mapping reflected real expression rather than constant or missing values. Ensembl mapping used org.Hs.eg.db version 3.23.1; GPL570 probe mapping used hgu133plus2.db version 3.13.0.</w:t>
      </w:r>
    </w:p>
    <w:p w14:paraId="3939960C"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S20.</w:t>
      </w:r>
      <w:r>
        <w:rPr>
          <w:rStyle w:val="apple-converted-space"/>
          <w:rFonts w:ascii="Segoe UI" w:hAnsi="Segoe UI" w:cs="Segoe UI"/>
          <w:color w:val="0F1115"/>
        </w:rPr>
        <w:t> </w:t>
      </w:r>
      <w:r>
        <w:rPr>
          <w:rFonts w:ascii="Segoe UI" w:hAnsi="Segoe UI" w:cs="Segoe UI"/>
          <w:color w:val="0F1115"/>
        </w:rPr>
        <w:t>Coverage by cohort at the 100% rule, for all 15 signatures. For each signature: number of genes, number of genes present in TCGA-LUAD, CPTAC-3, and GSE31210, coverage percentage in each cohort, evaluability at the 100% rule in each cohort, and whether the signature is eligible for pooling under the pre-specified rule (≥3 independent cohorts and TCGA-LUAD not the development cohort). The final column reproduces the determination that under the primary 100% rule zero signatures are eligible for pooling; under the 80% sensitivity rule, Yao 2021 is eligible.</w:t>
      </w:r>
    </w:p>
    <w:p w14:paraId="713E0AF2"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S21.</w:t>
      </w:r>
      <w:r>
        <w:rPr>
          <w:rStyle w:val="apple-converted-space"/>
          <w:rFonts w:ascii="Segoe UI" w:hAnsi="Segoe UI" w:cs="Segoe UI"/>
          <w:color w:val="0F1115"/>
        </w:rPr>
        <w:t> </w:t>
      </w:r>
      <w:r>
        <w:rPr>
          <w:rFonts w:ascii="Segoe UI" w:hAnsi="Segoe UI" w:cs="Segoe UI"/>
          <w:color w:val="0F1115"/>
        </w:rPr>
        <w:t>Pre-registration wording and deviations. Verbatim reproduction of the relevant sections of the OSF registration and its amendments, including: (i) the three-way per-cohort classification rule (Replicated / Contradicted / Inconclusive), (ii) the H3 descriptive-analysis specification, (iii) the cross-cohort pooling restriction (≥3 independent cohorts; TCGA-LUAD not the development cohort), (iv) the direction-consistency exploratory outcome, and (v) the risk-score computation formula (Indices §1: risk_score = Σᵢ βᵢ · z(exprᵢ), per-gene z-scoring within each cohort). Each excerpt is cross-referenced to the manuscript section in which it is applied. A note at the end of this table documents three corrections identified during the analysis: (a) a Methods-description correction on expression scaling, where the manuscript had described risk scores as computed from raw log2 expression while both the OSF registration and the analysis pipeline use per-gene z-scoring; (b) a gene-identifier resolution step, where two Yao 2021 genes (LINC01137 and C20orf197) were found to have been renamed and one (MGC32805) is a retired placeholder, requiring Ensembl-based resolution before coverage assessment; (c) a corrected cross-cohort pooling analysis for Yao 2021: the preregistered pooled analysis under the pre-specified 80% coverage sensitivity rule is the four-cohort estimate (HR per SD 1.442, 95% CI 1.249–1.664; k = 4; 167 events; I² = 0%), and the two-cohort estimate under the primary 100% coverage rule is reported as exploratory because it does not satisfy the registered ≥3-cohort pooling requirement. None of these corrections changed the primary results for any other signature.</w:t>
      </w:r>
    </w:p>
    <w:p w14:paraId="7436D5C7"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S22.</w:t>
      </w:r>
      <w:r>
        <w:rPr>
          <w:rStyle w:val="apple-converted-space"/>
          <w:rFonts w:ascii="Segoe UI" w:hAnsi="Segoe UI" w:cs="Segoe UI"/>
          <w:color w:val="0F1115"/>
        </w:rPr>
        <w:t> </w:t>
      </w:r>
      <w:r>
        <w:rPr>
          <w:rFonts w:ascii="Segoe UI" w:hAnsi="Segoe UI" w:cs="Segoe UI"/>
          <w:color w:val="0F1115"/>
        </w:rPr>
        <w:t xml:space="preserve">Reporting completeness of 76 reviewed LUAD lncRNA prognostic signatures. Coding was defined before assessment: coefficient reporting (full = table with one numeric coefficient per gene; none = not provided), cutoff definition </w:t>
      </w:r>
      <w:r>
        <w:rPr>
          <w:rFonts w:ascii="Segoe UI" w:hAnsi="Segoe UI" w:cs="Segoe UI"/>
          <w:color w:val="0F1115"/>
        </w:rPr>
        <w:lastRenderedPageBreak/>
        <w:t>(explicit_value = numeric value stated; method_only = method described without a value), scaling convention (stated = specific scale named, e.g. FPKM, TPM, RPKM, z-score, STAR-Counts; implied = only "RNA-seq" without a unit; not_stated = nothing or "not specified"), independent validation evidence (yes = any cohort distinct from the development cohort, including public GEO cohorts used for prognostic-model validation, in-house clinical cohorts, or experimental qPCR on independent patient tissues; no = all validation internal), and text-versus-table conflicts (yes/no). The independent-validation item grouped prognostic-model validation and expression-only validation into a single binary; the 24/76 figure should therefore be read as the proportion of papers reporting any independent external or experimental validation evidence, not as the proportion that validated the multigene prognostic model. Of the 76 papers, 63 (82.9%) reported full coefficient tables; 76 (100%) described a risk-cutoff method, but only 6 (7.9%) stated the numeric value; the scaling convention was stated explicitly with a named unit in 27 (35.5%), implied by reference to RNA-seq without naming a unit in 38 (50.0%), and not stated at all in 11 (14.5%); independent external or experimental validation evidence was reported in 24 (31.6%); and text-versus-table conflicts were identified in 8 (10.5%). Coding was performed by the primary investigator. A second coder (Moinul Islam, PhD student, Shanghai University) independently assessed 10 randomly drawn papers against the same definitions. Pre-discussion raw agreement was 100% for coefficient tables (kappa 1.000), 100% for cutoff method (kappa not estimable), 60% for scaling convention (kappa 0.429, 95% CI −0.005 to 0.862), 100% for external validation (kappa 1.000), and 90% for text-versus-table conflicts (kappa not estimable). Post-discussion consensus was 100% across all five coded items, but post-discussion consensus is not independent inter-rater agreement and is reported here for completeness only. A blinded second-coding pass of the text-versus-table item was conducted on the remaining 66 papers; three additional conflicts were identified and verified, raising the reported rate from 5/76 to 8/76. The denominator is the 76 papers for which a detailed extraction record was available; the screening phase reviewed 90 full texts, and the 76 papers with detailed extraction records form the denominator for this analysis. The remaining 14 papers were not extracted and are excluded; because exclusion may correlate with reporting quality, the completeness estimates should be treated as applying to the available-record sample rather than to the full 90-paper screen. This table is the evidentiary basis for the reporting-completeness analysis in the Results and Discussion and for the reporting checklist in Supplementary File 1.</w:t>
      </w:r>
    </w:p>
    <w:p w14:paraId="76B43AD6"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S23.</w:t>
      </w:r>
      <w:r>
        <w:rPr>
          <w:rStyle w:val="apple-converted-space"/>
          <w:rFonts w:ascii="Segoe UI" w:hAnsi="Segoe UI" w:cs="Segoe UI"/>
          <w:color w:val="0F1115"/>
        </w:rPr>
        <w:t> </w:t>
      </w:r>
      <w:r>
        <w:rPr>
          <w:rFonts w:ascii="Segoe UI" w:hAnsi="Segoe UI" w:cs="Segoe UI"/>
          <w:color w:val="0F1115"/>
        </w:rPr>
        <w:t xml:space="preserve">Signature × cohort coverage crosswalk. For each of the 15 published LUAD lncRNA prognostic signatures and each of the three primary cohorts (TCGA-LUAD, CPTAC-3, GSE31210), the number of signature genes present in the harmonized expression matrix, the coverage percentage, and evaluability under the </w:t>
      </w:r>
      <w:r>
        <w:rPr>
          <w:rFonts w:ascii="Segoe UI" w:hAnsi="Segoe UI" w:cs="Segoe UI"/>
          <w:color w:val="0F1115"/>
        </w:rPr>
        <w:lastRenderedPageBreak/>
        <w:t>primary 100% rule. Columns: signature identifier, number of genes, percentage of signature genes present in each cohort, evaluability flag (100% or ≥80% coverage) for each cohort. This table is the basis for the coverage-based pooling restriction referenced in the Methods. Coverage of Yao 2021 in the two additional GPL570 cohorts (GSE50081 and GSE30219) is reported separately in Supplementary Table S24.</w:t>
      </w:r>
    </w:p>
    <w:p w14:paraId="7B421435" w14:textId="63109F3E"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Table S24.</w:t>
      </w:r>
      <w:r>
        <w:rPr>
          <w:rStyle w:val="apple-converted-space"/>
          <w:rFonts w:ascii="Segoe UI" w:hAnsi="Segoe UI" w:cs="Segoe UI"/>
          <w:color w:val="0F1115"/>
        </w:rPr>
        <w:t> </w:t>
      </w:r>
      <w:r>
        <w:rPr>
          <w:rFonts w:ascii="Segoe UI" w:hAnsi="Segoe UI" w:cs="Segoe UI"/>
          <w:color w:val="0F1115"/>
        </w:rPr>
        <w:t>Yao 2021 gene coverage across five cohorts after alias resolution. Per-cohort coverage of the 7-gene Yao 2021 signature after mapping by Ensembl ID and current HGNC symbols. Two genes published under old symbols — LINC01137 (current: LITATS1) and C20orf197 (current: LINC02910 / MIR646HG / LOC729296) — are present in all five cohorts (by gene-symbol row in the collapsed GPL570 matrices; by Ensembl-mapped symbol in RNA-seq matrices). The third, MGC32805, is a retired Mammalian Gene Collection placeholder with no current HGNC or Ensembl entry and no probe in current GPL570 annotation; it is retained as a row name in TCGA-LUAD, CPTAC-3, and GSE31210, and is absent from GSE50081 and GSE30219. Coverage: TCGA-LUAD 7/7 (100%); CPTAC-3 7/7 (100%); GSE31210 7/7 (100%); GSE50081 6/7 (85.7%); GSE30219 6/7 (85.7%). Under the pre-specified 80% coverage sensitivity rule, Yao 2021 is evaluable in all four independent cohorts. Columns: cohort, platform, genes present, coverage percentage, genes resolved by alias, eligibility under 100% rule, eligibility under 80% rule. Ensembl mapping used org.Hs.eg.db version 3.23.1; GPL570 probe mapping used hgu133plus2.db version 3.13.0.</w:t>
      </w:r>
    </w:p>
    <w:p w14:paraId="0C59545F" w14:textId="77777777" w:rsidR="007B6C20" w:rsidRDefault="007B6C20" w:rsidP="007B6C20">
      <w:r>
        <w:rPr>
          <w:rStyle w:val="Strong"/>
          <w:rFonts w:ascii="Segoe UI" w:hAnsi="Segoe UI" w:cs="Segoe UI"/>
          <w:color w:val="0F1115"/>
        </w:rPr>
        <w:t>Supplementary Table S28.</w:t>
      </w:r>
      <w:r>
        <w:rPr>
          <w:rStyle w:val="apple-converted-space"/>
          <w:rFonts w:ascii="Segoe UI" w:hAnsi="Segoe UI" w:cs="Segoe UI"/>
          <w:color w:val="0F1115"/>
        </w:rPr>
        <w:t> </w:t>
      </w:r>
      <w:r>
        <w:rPr>
          <w:rFonts w:ascii="Segoe UI" w:hAnsi="Segoe UI" w:cs="Segoe UI"/>
          <w:color w:val="0F1115"/>
        </w:rPr>
        <w:t>Yao 2021 gene × cohort crosswalk after alias resolution. For each of the seven published Yao 2021 genes and each of the five cohorts used (TCGA-LUAD, CPTAC-3, GSE31210, GSE50081, GSE30219), the row name used in the harmonized expression matrix (either the published symbol or a current alias), the expression summary (mean, SD, minimum, maximum), and whether the gene was present and used for scoring. Rows with no matching row name are shown as absent. This table makes the coverage and scoring construction auditable at the gene × cohort level. Ensembl mapping used org.Hs.eg.db version 3.23.1; GPL570 probe mapping used hgu133plus2.db version 3.13.0.</w:t>
      </w:r>
    </w:p>
    <w:p w14:paraId="0FB9F8F9" w14:textId="77777777" w:rsidR="007B6C20" w:rsidRDefault="007B6C20" w:rsidP="00341AB8">
      <w:pPr>
        <w:pStyle w:val="ds-markdown-paragraph"/>
        <w:spacing w:before="240" w:beforeAutospacing="0" w:after="240" w:afterAutospacing="0"/>
        <w:rPr>
          <w:rFonts w:ascii="Segoe UI" w:hAnsi="Segoe UI" w:cs="Segoe UI"/>
          <w:color w:val="0F1115"/>
        </w:rPr>
      </w:pPr>
    </w:p>
    <w:p w14:paraId="310E27D2"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t>Supplementary File 1.</w:t>
      </w:r>
      <w:r>
        <w:rPr>
          <w:rStyle w:val="apple-converted-space"/>
          <w:rFonts w:ascii="Segoe UI" w:hAnsi="Segoe UI" w:cs="Segoe UI"/>
          <w:color w:val="0F1115"/>
        </w:rPr>
        <w:t> </w:t>
      </w:r>
      <w:r>
        <w:rPr>
          <w:rFonts w:ascii="Segoe UI" w:hAnsi="Segoe UI" w:cs="Segoe UI"/>
          <w:color w:val="0F1115"/>
        </w:rPr>
        <w:t>Reporting checklist for future LUAD lncRNA prognostic signature studies. A one-page checklist derived from the reporting-completeness analysis (Supplementary Table S22). Covers signature reporting, validation reporting, and reporting hygiene. Available as a standalone markdown file in the repository at docs/reporting_checklist.md.</w:t>
      </w:r>
    </w:p>
    <w:p w14:paraId="071A72CB" w14:textId="77777777" w:rsidR="00341AB8" w:rsidRDefault="00341AB8" w:rsidP="00341AB8">
      <w:pPr>
        <w:pStyle w:val="ds-markdown-paragraph"/>
        <w:spacing w:before="240" w:beforeAutospacing="0" w:after="240" w:afterAutospacing="0"/>
        <w:rPr>
          <w:rFonts w:ascii="Segoe UI" w:hAnsi="Segoe UI" w:cs="Segoe UI"/>
          <w:color w:val="0F1115"/>
        </w:rPr>
      </w:pPr>
      <w:r>
        <w:rPr>
          <w:rStyle w:val="Strong"/>
          <w:rFonts w:ascii="Segoe UI" w:hAnsi="Segoe UI" w:cs="Segoe UI"/>
          <w:color w:val="0F1115"/>
        </w:rPr>
        <w:lastRenderedPageBreak/>
        <w:t>Supplementary File 2.</w:t>
      </w:r>
      <w:r>
        <w:rPr>
          <w:rStyle w:val="apple-converted-space"/>
          <w:rFonts w:ascii="Segoe UI" w:hAnsi="Segoe UI" w:cs="Segoe UI"/>
          <w:color w:val="0F1115"/>
        </w:rPr>
        <w:t> </w:t>
      </w:r>
      <w:r>
        <w:rPr>
          <w:rFonts w:ascii="Segoe UI" w:hAnsi="Segoe UI" w:cs="Segoe UI"/>
          <w:color w:val="0F1115"/>
        </w:rPr>
        <w:t>TRIPOD 2020 checklist for this study. Completed 22-item checklist with page references to the manuscript, following the TRIPOD 2020 statement for prediction model development and validation.</w:t>
      </w:r>
    </w:p>
    <w:p w14:paraId="5D8AA708" w14:textId="77777777" w:rsidR="0088184B" w:rsidRDefault="004C1EF9" w:rsidP="0088184B">
      <w:pPr>
        <w:jc w:val="center"/>
        <w:rPr>
          <w:noProof/>
        </w:rPr>
      </w:pPr>
      <w:r>
        <w:rPr>
          <w:noProof/>
        </w:rPr>
      </w:r>
      <w:r>
        <w:pict w14:anchorId="5E5052FD">
          <v:rect id="Horizontal Line 9" o:spid="_x0000_s1026"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2B36C9A8" w14:textId="77777777" w:rsidR="0088184B" w:rsidRDefault="0088184B" w:rsidP="0088184B">
      <w:pPr>
        <w:spacing w:before="480" w:after="240"/>
        <w:outlineLvl w:val="1"/>
        <w:rPr>
          <w:rFonts w:ascii="Segoe UI" w:hAnsi="Segoe UI" w:cs="Segoe UI"/>
          <w:b/>
          <w:bCs/>
          <w:color w:val="0F1115"/>
          <w:sz w:val="36"/>
          <w:szCs w:val="36"/>
        </w:rPr>
      </w:pPr>
      <w:r>
        <w:rPr>
          <w:rFonts w:ascii="Segoe UI" w:hAnsi="Segoe UI" w:cs="Segoe UI"/>
          <w:b/>
          <w:bCs/>
          <w:color w:val="0F1115"/>
          <w:sz w:val="36"/>
          <w:szCs w:val="36"/>
        </w:rPr>
        <w:t>Numbering conventions and cross-references</w:t>
      </w:r>
    </w:p>
    <w:p w14:paraId="6FE2ED26" w14:textId="77777777" w:rsidR="0088184B" w:rsidRDefault="0088184B" w:rsidP="0088184B">
      <w:pPr>
        <w:spacing w:before="240" w:after="240"/>
        <w:rPr>
          <w:rFonts w:ascii="Segoe UI" w:hAnsi="Segoe UI" w:cs="Segoe UI"/>
          <w:color w:val="0F1115"/>
        </w:rPr>
      </w:pPr>
      <w:r>
        <w:rPr>
          <w:rFonts w:ascii="Segoe UI" w:hAnsi="Segoe UI" w:cs="Segoe UI"/>
          <w:b/>
          <w:bCs/>
          <w:color w:val="0F1115"/>
        </w:rPr>
        <w:t>Main text:</w:t>
      </w:r>
    </w:p>
    <w:p w14:paraId="6FB0B0B4" w14:textId="77777777" w:rsidR="0088184B" w:rsidRDefault="0088184B" w:rsidP="0088184B">
      <w:pPr>
        <w:numPr>
          <w:ilvl w:val="0"/>
          <w:numId w:val="1"/>
        </w:numPr>
        <w:rPr>
          <w:rFonts w:ascii="Segoe UI" w:hAnsi="Segoe UI" w:cs="Segoe UI"/>
          <w:color w:val="0F1115"/>
        </w:rPr>
      </w:pPr>
      <w:r>
        <w:rPr>
          <w:rFonts w:ascii="Segoe UI" w:hAnsi="Segoe UI" w:cs="Segoe UI"/>
          <w:color w:val="0F1115"/>
        </w:rPr>
        <w:t>Figures — 4 total (Figure 1 = PRISMA; Figure 2 = paired C-index scatter; Figure 3 = Yao forest plot; Figure 4 = paired HR panel)</w:t>
      </w:r>
    </w:p>
    <w:p w14:paraId="6877EACA" w14:textId="77777777" w:rsidR="0088184B" w:rsidRDefault="0088184B" w:rsidP="0088184B">
      <w:pPr>
        <w:numPr>
          <w:ilvl w:val="0"/>
          <w:numId w:val="1"/>
        </w:numPr>
        <w:rPr>
          <w:rFonts w:ascii="Segoe UI" w:hAnsi="Segoe UI" w:cs="Segoe UI"/>
          <w:color w:val="0F1115"/>
        </w:rPr>
      </w:pPr>
      <w:r>
        <w:rPr>
          <w:rFonts w:ascii="Segoe UI" w:hAnsi="Segoe UI" w:cs="Segoe UI"/>
          <w:color w:val="0F1115"/>
        </w:rPr>
        <w:t>Tables — 5 total (Tables 1–5)</w:t>
      </w:r>
    </w:p>
    <w:p w14:paraId="5B773BE5" w14:textId="77777777" w:rsidR="0088184B" w:rsidRDefault="0088184B" w:rsidP="0088184B">
      <w:pPr>
        <w:spacing w:before="240" w:after="240"/>
        <w:rPr>
          <w:rFonts w:ascii="Segoe UI" w:hAnsi="Segoe UI" w:cs="Segoe UI"/>
          <w:color w:val="0F1115"/>
        </w:rPr>
      </w:pPr>
      <w:r>
        <w:rPr>
          <w:rFonts w:ascii="Segoe UI" w:hAnsi="Segoe UI" w:cs="Segoe UI"/>
          <w:b/>
          <w:bCs/>
          <w:color w:val="0F1115"/>
        </w:rPr>
        <w:t>Supplementary:</w:t>
      </w:r>
    </w:p>
    <w:p w14:paraId="0841AB58" w14:textId="77777777" w:rsidR="0088184B" w:rsidRDefault="0088184B" w:rsidP="0088184B">
      <w:pPr>
        <w:numPr>
          <w:ilvl w:val="0"/>
          <w:numId w:val="2"/>
        </w:numPr>
        <w:rPr>
          <w:rFonts w:ascii="Segoe UI" w:hAnsi="Segoe UI" w:cs="Segoe UI"/>
          <w:color w:val="0F1115"/>
        </w:rPr>
      </w:pPr>
      <w:r>
        <w:rPr>
          <w:rFonts w:ascii="Segoe UI" w:hAnsi="Segoe UI" w:cs="Segoe UI"/>
          <w:color w:val="0F1115"/>
        </w:rPr>
        <w:t>Figures — 10 (Supplementary Figures S1–S10, KM curves)</w:t>
      </w:r>
    </w:p>
    <w:p w14:paraId="5A56F8B4" w14:textId="77777777" w:rsidR="0088184B" w:rsidRDefault="0088184B" w:rsidP="0088184B">
      <w:pPr>
        <w:numPr>
          <w:ilvl w:val="0"/>
          <w:numId w:val="2"/>
        </w:numPr>
        <w:rPr>
          <w:rFonts w:ascii="Segoe UI" w:hAnsi="Segoe UI" w:cs="Segoe UI"/>
          <w:color w:val="0F1115"/>
        </w:rPr>
      </w:pPr>
      <w:r>
        <w:rPr>
          <w:rFonts w:ascii="Segoe UI" w:hAnsi="Segoe UI" w:cs="Segoe UI"/>
          <w:color w:val="0F1115"/>
        </w:rPr>
        <w:t>Tables — Supplementary Tables S1–S24, with S1b as a sensitivity companion to S1</w:t>
      </w:r>
    </w:p>
    <w:p w14:paraId="558FF1E6" w14:textId="77777777" w:rsidR="0088184B" w:rsidRDefault="0088184B" w:rsidP="0088184B">
      <w:pPr>
        <w:numPr>
          <w:ilvl w:val="0"/>
          <w:numId w:val="2"/>
        </w:numPr>
        <w:rPr>
          <w:rFonts w:ascii="Segoe UI" w:hAnsi="Segoe UI" w:cs="Segoe UI"/>
          <w:color w:val="0F1115"/>
        </w:rPr>
      </w:pPr>
      <w:r>
        <w:rPr>
          <w:rFonts w:ascii="Segoe UI" w:hAnsi="Segoe UI" w:cs="Segoe UI"/>
          <w:color w:val="0F1115"/>
        </w:rPr>
        <w:t>Files — Supplementary Files 1 (reporting checklist) and 2 (TRIPOD checklist)</w:t>
      </w:r>
    </w:p>
    <w:p w14:paraId="0E3FDC99" w14:textId="77777777" w:rsidR="0088184B" w:rsidRDefault="0088184B" w:rsidP="0088184B"/>
    <w:p w14:paraId="63E94D68" w14:textId="77777777" w:rsidR="00384079" w:rsidRDefault="00384079"/>
    <w:sectPr w:rsidR="00384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rinda">
    <w:panose1 w:val="020B0604020202020204"/>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E4835"/>
    <w:multiLevelType w:val="multilevel"/>
    <w:tmpl w:val="AAEC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D5CEA"/>
    <w:multiLevelType w:val="multilevel"/>
    <w:tmpl w:val="A174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4B"/>
    <w:rsid w:val="0003057F"/>
    <w:rsid w:val="00033E5E"/>
    <w:rsid w:val="00163463"/>
    <w:rsid w:val="00193C79"/>
    <w:rsid w:val="001F2501"/>
    <w:rsid w:val="00202E48"/>
    <w:rsid w:val="002F15A2"/>
    <w:rsid w:val="0030311D"/>
    <w:rsid w:val="00337053"/>
    <w:rsid w:val="00341AB8"/>
    <w:rsid w:val="00383E77"/>
    <w:rsid w:val="00384079"/>
    <w:rsid w:val="003D39A4"/>
    <w:rsid w:val="004A2B9E"/>
    <w:rsid w:val="004A6505"/>
    <w:rsid w:val="004C1EF9"/>
    <w:rsid w:val="005226DE"/>
    <w:rsid w:val="00532215"/>
    <w:rsid w:val="006B38E6"/>
    <w:rsid w:val="006B3AC5"/>
    <w:rsid w:val="00702007"/>
    <w:rsid w:val="0074155B"/>
    <w:rsid w:val="007B6C20"/>
    <w:rsid w:val="008341BB"/>
    <w:rsid w:val="0088184B"/>
    <w:rsid w:val="00951358"/>
    <w:rsid w:val="009A2AE5"/>
    <w:rsid w:val="00AF7D05"/>
    <w:rsid w:val="00B06FB4"/>
    <w:rsid w:val="00C45468"/>
    <w:rsid w:val="00D512F3"/>
    <w:rsid w:val="00D628C0"/>
    <w:rsid w:val="00EA1D6B"/>
    <w:rsid w:val="00EA74C1"/>
    <w:rsid w:val="00F61D55"/>
    <w:rsid w:val="00FB105A"/>
    <w:rsid w:val="00FB4512"/>
    <w:rsid w:val="00FF5F71"/>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3ED3FE9"/>
  <w15:chartTrackingRefBased/>
  <w15:docId w15:val="{F22F2F4E-53D4-7746-BFD1-63B9A95F6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30"/>
        <w:lang w:val="en-US"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D6B"/>
    <w:rPr>
      <w:rFonts w:ascii="Times New Roman" w:eastAsia="Times New Roman" w:hAnsi="Times New Roman" w:cs="Times New Roman"/>
      <w:szCs w:val="24"/>
    </w:rPr>
  </w:style>
  <w:style w:type="paragraph" w:styleId="Heading2">
    <w:name w:val="heading 2"/>
    <w:basedOn w:val="Normal"/>
    <w:link w:val="Heading2Char"/>
    <w:uiPriority w:val="9"/>
    <w:qFormat/>
    <w:rsid w:val="00AF7D05"/>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341AB8"/>
    <w:pPr>
      <w:keepNext/>
      <w:keepLines/>
      <w:spacing w:before="40"/>
      <w:outlineLvl w:val="2"/>
    </w:pPr>
    <w:rPr>
      <w:rFonts w:asciiTheme="majorHAnsi" w:eastAsiaTheme="majorEastAsia" w:hAnsiTheme="majorHAnsi" w:cstheme="majorBidi"/>
      <w:color w:val="1F3763" w:themeColor="accent1" w:themeShade="7F"/>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8184B"/>
    <w:rPr>
      <w:color w:val="0000FF"/>
      <w:u w:val="single"/>
    </w:rPr>
  </w:style>
  <w:style w:type="paragraph" w:customStyle="1" w:styleId="ds-markdown-paragraph">
    <w:name w:val="ds-markdown-paragraph"/>
    <w:basedOn w:val="Normal"/>
    <w:rsid w:val="006B38E6"/>
    <w:pPr>
      <w:spacing w:before="100" w:beforeAutospacing="1" w:after="100" w:afterAutospacing="1"/>
    </w:pPr>
  </w:style>
  <w:style w:type="character" w:styleId="Strong">
    <w:name w:val="Strong"/>
    <w:basedOn w:val="DefaultParagraphFont"/>
    <w:uiPriority w:val="22"/>
    <w:qFormat/>
    <w:rsid w:val="005226DE"/>
    <w:rPr>
      <w:b/>
      <w:bCs/>
    </w:rPr>
  </w:style>
  <w:style w:type="character" w:customStyle="1" w:styleId="apple-converted-space">
    <w:name w:val="apple-converted-space"/>
    <w:basedOn w:val="DefaultParagraphFont"/>
    <w:rsid w:val="005226DE"/>
  </w:style>
  <w:style w:type="character" w:customStyle="1" w:styleId="Heading2Char">
    <w:name w:val="Heading 2 Char"/>
    <w:basedOn w:val="DefaultParagraphFont"/>
    <w:link w:val="Heading2"/>
    <w:uiPriority w:val="9"/>
    <w:rsid w:val="00AF7D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341AB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4154">
      <w:bodyDiv w:val="1"/>
      <w:marLeft w:val="0"/>
      <w:marRight w:val="0"/>
      <w:marTop w:val="0"/>
      <w:marBottom w:val="0"/>
      <w:divBdr>
        <w:top w:val="none" w:sz="0" w:space="0" w:color="auto"/>
        <w:left w:val="none" w:sz="0" w:space="0" w:color="auto"/>
        <w:bottom w:val="none" w:sz="0" w:space="0" w:color="auto"/>
        <w:right w:val="none" w:sz="0" w:space="0" w:color="auto"/>
      </w:divBdr>
    </w:div>
    <w:div w:id="218514543">
      <w:bodyDiv w:val="1"/>
      <w:marLeft w:val="0"/>
      <w:marRight w:val="0"/>
      <w:marTop w:val="0"/>
      <w:marBottom w:val="0"/>
      <w:divBdr>
        <w:top w:val="none" w:sz="0" w:space="0" w:color="auto"/>
        <w:left w:val="none" w:sz="0" w:space="0" w:color="auto"/>
        <w:bottom w:val="none" w:sz="0" w:space="0" w:color="auto"/>
        <w:right w:val="none" w:sz="0" w:space="0" w:color="auto"/>
      </w:divBdr>
    </w:div>
    <w:div w:id="287198868">
      <w:bodyDiv w:val="1"/>
      <w:marLeft w:val="0"/>
      <w:marRight w:val="0"/>
      <w:marTop w:val="0"/>
      <w:marBottom w:val="0"/>
      <w:divBdr>
        <w:top w:val="none" w:sz="0" w:space="0" w:color="auto"/>
        <w:left w:val="none" w:sz="0" w:space="0" w:color="auto"/>
        <w:bottom w:val="none" w:sz="0" w:space="0" w:color="auto"/>
        <w:right w:val="none" w:sz="0" w:space="0" w:color="auto"/>
      </w:divBdr>
      <w:divsChild>
        <w:div w:id="837691305">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290401040">
      <w:bodyDiv w:val="1"/>
      <w:marLeft w:val="0"/>
      <w:marRight w:val="0"/>
      <w:marTop w:val="0"/>
      <w:marBottom w:val="0"/>
      <w:divBdr>
        <w:top w:val="none" w:sz="0" w:space="0" w:color="auto"/>
        <w:left w:val="none" w:sz="0" w:space="0" w:color="auto"/>
        <w:bottom w:val="none" w:sz="0" w:space="0" w:color="auto"/>
        <w:right w:val="none" w:sz="0" w:space="0" w:color="auto"/>
      </w:divBdr>
    </w:div>
    <w:div w:id="323045700">
      <w:bodyDiv w:val="1"/>
      <w:marLeft w:val="0"/>
      <w:marRight w:val="0"/>
      <w:marTop w:val="0"/>
      <w:marBottom w:val="0"/>
      <w:divBdr>
        <w:top w:val="none" w:sz="0" w:space="0" w:color="auto"/>
        <w:left w:val="none" w:sz="0" w:space="0" w:color="auto"/>
        <w:bottom w:val="none" w:sz="0" w:space="0" w:color="auto"/>
        <w:right w:val="none" w:sz="0" w:space="0" w:color="auto"/>
      </w:divBdr>
    </w:div>
    <w:div w:id="346061722">
      <w:bodyDiv w:val="1"/>
      <w:marLeft w:val="0"/>
      <w:marRight w:val="0"/>
      <w:marTop w:val="0"/>
      <w:marBottom w:val="0"/>
      <w:divBdr>
        <w:top w:val="none" w:sz="0" w:space="0" w:color="auto"/>
        <w:left w:val="none" w:sz="0" w:space="0" w:color="auto"/>
        <w:bottom w:val="none" w:sz="0" w:space="0" w:color="auto"/>
        <w:right w:val="none" w:sz="0" w:space="0" w:color="auto"/>
      </w:divBdr>
    </w:div>
    <w:div w:id="347292142">
      <w:bodyDiv w:val="1"/>
      <w:marLeft w:val="0"/>
      <w:marRight w:val="0"/>
      <w:marTop w:val="0"/>
      <w:marBottom w:val="0"/>
      <w:divBdr>
        <w:top w:val="none" w:sz="0" w:space="0" w:color="auto"/>
        <w:left w:val="none" w:sz="0" w:space="0" w:color="auto"/>
        <w:bottom w:val="none" w:sz="0" w:space="0" w:color="auto"/>
        <w:right w:val="none" w:sz="0" w:space="0" w:color="auto"/>
      </w:divBdr>
    </w:div>
    <w:div w:id="367802424">
      <w:bodyDiv w:val="1"/>
      <w:marLeft w:val="0"/>
      <w:marRight w:val="0"/>
      <w:marTop w:val="0"/>
      <w:marBottom w:val="0"/>
      <w:divBdr>
        <w:top w:val="none" w:sz="0" w:space="0" w:color="auto"/>
        <w:left w:val="none" w:sz="0" w:space="0" w:color="auto"/>
        <w:bottom w:val="none" w:sz="0" w:space="0" w:color="auto"/>
        <w:right w:val="none" w:sz="0" w:space="0" w:color="auto"/>
      </w:divBdr>
    </w:div>
    <w:div w:id="453523515">
      <w:bodyDiv w:val="1"/>
      <w:marLeft w:val="0"/>
      <w:marRight w:val="0"/>
      <w:marTop w:val="0"/>
      <w:marBottom w:val="0"/>
      <w:divBdr>
        <w:top w:val="none" w:sz="0" w:space="0" w:color="auto"/>
        <w:left w:val="none" w:sz="0" w:space="0" w:color="auto"/>
        <w:bottom w:val="none" w:sz="0" w:space="0" w:color="auto"/>
        <w:right w:val="none" w:sz="0" w:space="0" w:color="auto"/>
      </w:divBdr>
    </w:div>
    <w:div w:id="474763687">
      <w:bodyDiv w:val="1"/>
      <w:marLeft w:val="0"/>
      <w:marRight w:val="0"/>
      <w:marTop w:val="0"/>
      <w:marBottom w:val="0"/>
      <w:divBdr>
        <w:top w:val="none" w:sz="0" w:space="0" w:color="auto"/>
        <w:left w:val="none" w:sz="0" w:space="0" w:color="auto"/>
        <w:bottom w:val="none" w:sz="0" w:space="0" w:color="auto"/>
        <w:right w:val="none" w:sz="0" w:space="0" w:color="auto"/>
      </w:divBdr>
    </w:div>
    <w:div w:id="500655897">
      <w:bodyDiv w:val="1"/>
      <w:marLeft w:val="0"/>
      <w:marRight w:val="0"/>
      <w:marTop w:val="0"/>
      <w:marBottom w:val="0"/>
      <w:divBdr>
        <w:top w:val="none" w:sz="0" w:space="0" w:color="auto"/>
        <w:left w:val="none" w:sz="0" w:space="0" w:color="auto"/>
        <w:bottom w:val="none" w:sz="0" w:space="0" w:color="auto"/>
        <w:right w:val="none" w:sz="0" w:space="0" w:color="auto"/>
      </w:divBdr>
    </w:div>
    <w:div w:id="560947807">
      <w:bodyDiv w:val="1"/>
      <w:marLeft w:val="0"/>
      <w:marRight w:val="0"/>
      <w:marTop w:val="0"/>
      <w:marBottom w:val="0"/>
      <w:divBdr>
        <w:top w:val="none" w:sz="0" w:space="0" w:color="auto"/>
        <w:left w:val="none" w:sz="0" w:space="0" w:color="auto"/>
        <w:bottom w:val="none" w:sz="0" w:space="0" w:color="auto"/>
        <w:right w:val="none" w:sz="0" w:space="0" w:color="auto"/>
      </w:divBdr>
    </w:div>
    <w:div w:id="607736777">
      <w:bodyDiv w:val="1"/>
      <w:marLeft w:val="0"/>
      <w:marRight w:val="0"/>
      <w:marTop w:val="0"/>
      <w:marBottom w:val="0"/>
      <w:divBdr>
        <w:top w:val="none" w:sz="0" w:space="0" w:color="auto"/>
        <w:left w:val="none" w:sz="0" w:space="0" w:color="auto"/>
        <w:bottom w:val="none" w:sz="0" w:space="0" w:color="auto"/>
        <w:right w:val="none" w:sz="0" w:space="0" w:color="auto"/>
      </w:divBdr>
    </w:div>
    <w:div w:id="667364088">
      <w:bodyDiv w:val="1"/>
      <w:marLeft w:val="0"/>
      <w:marRight w:val="0"/>
      <w:marTop w:val="0"/>
      <w:marBottom w:val="0"/>
      <w:divBdr>
        <w:top w:val="none" w:sz="0" w:space="0" w:color="auto"/>
        <w:left w:val="none" w:sz="0" w:space="0" w:color="auto"/>
        <w:bottom w:val="none" w:sz="0" w:space="0" w:color="auto"/>
        <w:right w:val="none" w:sz="0" w:space="0" w:color="auto"/>
      </w:divBdr>
    </w:div>
    <w:div w:id="777527765">
      <w:bodyDiv w:val="1"/>
      <w:marLeft w:val="0"/>
      <w:marRight w:val="0"/>
      <w:marTop w:val="0"/>
      <w:marBottom w:val="0"/>
      <w:divBdr>
        <w:top w:val="none" w:sz="0" w:space="0" w:color="auto"/>
        <w:left w:val="none" w:sz="0" w:space="0" w:color="auto"/>
        <w:bottom w:val="none" w:sz="0" w:space="0" w:color="auto"/>
        <w:right w:val="none" w:sz="0" w:space="0" w:color="auto"/>
      </w:divBdr>
    </w:div>
    <w:div w:id="786970224">
      <w:bodyDiv w:val="1"/>
      <w:marLeft w:val="0"/>
      <w:marRight w:val="0"/>
      <w:marTop w:val="0"/>
      <w:marBottom w:val="0"/>
      <w:divBdr>
        <w:top w:val="none" w:sz="0" w:space="0" w:color="auto"/>
        <w:left w:val="none" w:sz="0" w:space="0" w:color="auto"/>
        <w:bottom w:val="none" w:sz="0" w:space="0" w:color="auto"/>
        <w:right w:val="none" w:sz="0" w:space="0" w:color="auto"/>
      </w:divBdr>
    </w:div>
    <w:div w:id="805396068">
      <w:bodyDiv w:val="1"/>
      <w:marLeft w:val="0"/>
      <w:marRight w:val="0"/>
      <w:marTop w:val="0"/>
      <w:marBottom w:val="0"/>
      <w:divBdr>
        <w:top w:val="none" w:sz="0" w:space="0" w:color="auto"/>
        <w:left w:val="none" w:sz="0" w:space="0" w:color="auto"/>
        <w:bottom w:val="none" w:sz="0" w:space="0" w:color="auto"/>
        <w:right w:val="none" w:sz="0" w:space="0" w:color="auto"/>
      </w:divBdr>
    </w:div>
    <w:div w:id="887685970">
      <w:bodyDiv w:val="1"/>
      <w:marLeft w:val="0"/>
      <w:marRight w:val="0"/>
      <w:marTop w:val="0"/>
      <w:marBottom w:val="0"/>
      <w:divBdr>
        <w:top w:val="none" w:sz="0" w:space="0" w:color="auto"/>
        <w:left w:val="none" w:sz="0" w:space="0" w:color="auto"/>
        <w:bottom w:val="none" w:sz="0" w:space="0" w:color="auto"/>
        <w:right w:val="none" w:sz="0" w:space="0" w:color="auto"/>
      </w:divBdr>
      <w:divsChild>
        <w:div w:id="190073207">
          <w:marLeft w:val="0"/>
          <w:marRight w:val="0"/>
          <w:marTop w:val="480"/>
          <w:marBottom w:val="480"/>
          <w:divBdr>
            <w:top w:val="none" w:sz="0" w:space="0" w:color="auto"/>
            <w:left w:val="none" w:sz="0" w:space="0" w:color="auto"/>
            <w:bottom w:val="none" w:sz="0" w:space="0" w:color="auto"/>
            <w:right w:val="none" w:sz="0" w:space="0" w:color="auto"/>
          </w:divBdr>
        </w:div>
        <w:div w:id="1707219620">
          <w:marLeft w:val="0"/>
          <w:marRight w:val="0"/>
          <w:marTop w:val="480"/>
          <w:marBottom w:val="480"/>
          <w:divBdr>
            <w:top w:val="none" w:sz="0" w:space="0" w:color="auto"/>
            <w:left w:val="none" w:sz="0" w:space="0" w:color="auto"/>
            <w:bottom w:val="none" w:sz="0" w:space="0" w:color="auto"/>
            <w:right w:val="none" w:sz="0" w:space="0" w:color="auto"/>
          </w:divBdr>
        </w:div>
        <w:div w:id="154035313">
          <w:marLeft w:val="0"/>
          <w:marRight w:val="0"/>
          <w:marTop w:val="480"/>
          <w:marBottom w:val="480"/>
          <w:divBdr>
            <w:top w:val="none" w:sz="0" w:space="0" w:color="auto"/>
            <w:left w:val="none" w:sz="0" w:space="0" w:color="auto"/>
            <w:bottom w:val="none" w:sz="0" w:space="0" w:color="auto"/>
            <w:right w:val="none" w:sz="0" w:space="0" w:color="auto"/>
          </w:divBdr>
        </w:div>
        <w:div w:id="1876307832">
          <w:marLeft w:val="0"/>
          <w:marRight w:val="0"/>
          <w:marTop w:val="480"/>
          <w:marBottom w:val="480"/>
          <w:divBdr>
            <w:top w:val="none" w:sz="0" w:space="0" w:color="auto"/>
            <w:left w:val="none" w:sz="0" w:space="0" w:color="auto"/>
            <w:bottom w:val="none" w:sz="0" w:space="0" w:color="auto"/>
            <w:right w:val="none" w:sz="0" w:space="0" w:color="auto"/>
          </w:divBdr>
        </w:div>
        <w:div w:id="907232024">
          <w:marLeft w:val="0"/>
          <w:marRight w:val="0"/>
          <w:marTop w:val="480"/>
          <w:marBottom w:val="480"/>
          <w:divBdr>
            <w:top w:val="none" w:sz="0" w:space="0" w:color="auto"/>
            <w:left w:val="none" w:sz="0" w:space="0" w:color="auto"/>
            <w:bottom w:val="none" w:sz="0" w:space="0" w:color="auto"/>
            <w:right w:val="none" w:sz="0" w:space="0" w:color="auto"/>
          </w:divBdr>
        </w:div>
        <w:div w:id="42288830">
          <w:marLeft w:val="0"/>
          <w:marRight w:val="0"/>
          <w:marTop w:val="480"/>
          <w:marBottom w:val="480"/>
          <w:divBdr>
            <w:top w:val="none" w:sz="0" w:space="0" w:color="auto"/>
            <w:left w:val="none" w:sz="0" w:space="0" w:color="auto"/>
            <w:bottom w:val="none" w:sz="0" w:space="0" w:color="auto"/>
            <w:right w:val="none" w:sz="0" w:space="0" w:color="auto"/>
          </w:divBdr>
        </w:div>
        <w:div w:id="43256497">
          <w:marLeft w:val="0"/>
          <w:marRight w:val="0"/>
          <w:marTop w:val="480"/>
          <w:marBottom w:val="480"/>
          <w:divBdr>
            <w:top w:val="none" w:sz="0" w:space="0" w:color="auto"/>
            <w:left w:val="none" w:sz="0" w:space="0" w:color="auto"/>
            <w:bottom w:val="none" w:sz="0" w:space="0" w:color="auto"/>
            <w:right w:val="none" w:sz="0" w:space="0" w:color="auto"/>
          </w:divBdr>
        </w:div>
        <w:div w:id="933706430">
          <w:marLeft w:val="0"/>
          <w:marRight w:val="0"/>
          <w:marTop w:val="480"/>
          <w:marBottom w:val="480"/>
          <w:divBdr>
            <w:top w:val="none" w:sz="0" w:space="0" w:color="auto"/>
            <w:left w:val="none" w:sz="0" w:space="0" w:color="auto"/>
            <w:bottom w:val="none" w:sz="0" w:space="0" w:color="auto"/>
            <w:right w:val="none" w:sz="0" w:space="0" w:color="auto"/>
          </w:divBdr>
        </w:div>
        <w:div w:id="370346215">
          <w:marLeft w:val="0"/>
          <w:marRight w:val="0"/>
          <w:marTop w:val="480"/>
          <w:marBottom w:val="480"/>
          <w:divBdr>
            <w:top w:val="none" w:sz="0" w:space="0" w:color="auto"/>
            <w:left w:val="none" w:sz="0" w:space="0" w:color="auto"/>
            <w:bottom w:val="none" w:sz="0" w:space="0" w:color="auto"/>
            <w:right w:val="none" w:sz="0" w:space="0" w:color="auto"/>
          </w:divBdr>
        </w:div>
      </w:divsChild>
    </w:div>
    <w:div w:id="898250757">
      <w:bodyDiv w:val="1"/>
      <w:marLeft w:val="0"/>
      <w:marRight w:val="0"/>
      <w:marTop w:val="0"/>
      <w:marBottom w:val="0"/>
      <w:divBdr>
        <w:top w:val="none" w:sz="0" w:space="0" w:color="auto"/>
        <w:left w:val="none" w:sz="0" w:space="0" w:color="auto"/>
        <w:bottom w:val="none" w:sz="0" w:space="0" w:color="auto"/>
        <w:right w:val="none" w:sz="0" w:space="0" w:color="auto"/>
      </w:divBdr>
    </w:div>
    <w:div w:id="902986518">
      <w:bodyDiv w:val="1"/>
      <w:marLeft w:val="0"/>
      <w:marRight w:val="0"/>
      <w:marTop w:val="0"/>
      <w:marBottom w:val="0"/>
      <w:divBdr>
        <w:top w:val="none" w:sz="0" w:space="0" w:color="auto"/>
        <w:left w:val="none" w:sz="0" w:space="0" w:color="auto"/>
        <w:bottom w:val="none" w:sz="0" w:space="0" w:color="auto"/>
        <w:right w:val="none" w:sz="0" w:space="0" w:color="auto"/>
      </w:divBdr>
    </w:div>
    <w:div w:id="940990338">
      <w:bodyDiv w:val="1"/>
      <w:marLeft w:val="0"/>
      <w:marRight w:val="0"/>
      <w:marTop w:val="0"/>
      <w:marBottom w:val="0"/>
      <w:divBdr>
        <w:top w:val="none" w:sz="0" w:space="0" w:color="auto"/>
        <w:left w:val="none" w:sz="0" w:space="0" w:color="auto"/>
        <w:bottom w:val="none" w:sz="0" w:space="0" w:color="auto"/>
        <w:right w:val="none" w:sz="0" w:space="0" w:color="auto"/>
      </w:divBdr>
    </w:div>
    <w:div w:id="1006513999">
      <w:bodyDiv w:val="1"/>
      <w:marLeft w:val="0"/>
      <w:marRight w:val="0"/>
      <w:marTop w:val="0"/>
      <w:marBottom w:val="0"/>
      <w:divBdr>
        <w:top w:val="none" w:sz="0" w:space="0" w:color="auto"/>
        <w:left w:val="none" w:sz="0" w:space="0" w:color="auto"/>
        <w:bottom w:val="none" w:sz="0" w:space="0" w:color="auto"/>
        <w:right w:val="none" w:sz="0" w:space="0" w:color="auto"/>
      </w:divBdr>
    </w:div>
    <w:div w:id="1211572229">
      <w:bodyDiv w:val="1"/>
      <w:marLeft w:val="0"/>
      <w:marRight w:val="0"/>
      <w:marTop w:val="0"/>
      <w:marBottom w:val="0"/>
      <w:divBdr>
        <w:top w:val="none" w:sz="0" w:space="0" w:color="auto"/>
        <w:left w:val="none" w:sz="0" w:space="0" w:color="auto"/>
        <w:bottom w:val="none" w:sz="0" w:space="0" w:color="auto"/>
        <w:right w:val="none" w:sz="0" w:space="0" w:color="auto"/>
      </w:divBdr>
    </w:div>
    <w:div w:id="1381978534">
      <w:bodyDiv w:val="1"/>
      <w:marLeft w:val="0"/>
      <w:marRight w:val="0"/>
      <w:marTop w:val="0"/>
      <w:marBottom w:val="0"/>
      <w:divBdr>
        <w:top w:val="none" w:sz="0" w:space="0" w:color="auto"/>
        <w:left w:val="none" w:sz="0" w:space="0" w:color="auto"/>
        <w:bottom w:val="none" w:sz="0" w:space="0" w:color="auto"/>
        <w:right w:val="none" w:sz="0" w:space="0" w:color="auto"/>
      </w:divBdr>
    </w:div>
    <w:div w:id="1383557075">
      <w:bodyDiv w:val="1"/>
      <w:marLeft w:val="0"/>
      <w:marRight w:val="0"/>
      <w:marTop w:val="0"/>
      <w:marBottom w:val="0"/>
      <w:divBdr>
        <w:top w:val="none" w:sz="0" w:space="0" w:color="auto"/>
        <w:left w:val="none" w:sz="0" w:space="0" w:color="auto"/>
        <w:bottom w:val="none" w:sz="0" w:space="0" w:color="auto"/>
        <w:right w:val="none" w:sz="0" w:space="0" w:color="auto"/>
      </w:divBdr>
    </w:div>
    <w:div w:id="1454597891">
      <w:bodyDiv w:val="1"/>
      <w:marLeft w:val="0"/>
      <w:marRight w:val="0"/>
      <w:marTop w:val="0"/>
      <w:marBottom w:val="0"/>
      <w:divBdr>
        <w:top w:val="none" w:sz="0" w:space="0" w:color="auto"/>
        <w:left w:val="none" w:sz="0" w:space="0" w:color="auto"/>
        <w:bottom w:val="none" w:sz="0" w:space="0" w:color="auto"/>
        <w:right w:val="none" w:sz="0" w:space="0" w:color="auto"/>
      </w:divBdr>
    </w:div>
    <w:div w:id="1633756061">
      <w:bodyDiv w:val="1"/>
      <w:marLeft w:val="0"/>
      <w:marRight w:val="0"/>
      <w:marTop w:val="0"/>
      <w:marBottom w:val="0"/>
      <w:divBdr>
        <w:top w:val="none" w:sz="0" w:space="0" w:color="auto"/>
        <w:left w:val="none" w:sz="0" w:space="0" w:color="auto"/>
        <w:bottom w:val="none" w:sz="0" w:space="0" w:color="auto"/>
        <w:right w:val="none" w:sz="0" w:space="0" w:color="auto"/>
      </w:divBdr>
    </w:div>
    <w:div w:id="1658267467">
      <w:bodyDiv w:val="1"/>
      <w:marLeft w:val="0"/>
      <w:marRight w:val="0"/>
      <w:marTop w:val="0"/>
      <w:marBottom w:val="0"/>
      <w:divBdr>
        <w:top w:val="none" w:sz="0" w:space="0" w:color="auto"/>
        <w:left w:val="none" w:sz="0" w:space="0" w:color="auto"/>
        <w:bottom w:val="none" w:sz="0" w:space="0" w:color="auto"/>
        <w:right w:val="none" w:sz="0" w:space="0" w:color="auto"/>
      </w:divBdr>
    </w:div>
    <w:div w:id="1790121472">
      <w:bodyDiv w:val="1"/>
      <w:marLeft w:val="0"/>
      <w:marRight w:val="0"/>
      <w:marTop w:val="0"/>
      <w:marBottom w:val="0"/>
      <w:divBdr>
        <w:top w:val="none" w:sz="0" w:space="0" w:color="auto"/>
        <w:left w:val="none" w:sz="0" w:space="0" w:color="auto"/>
        <w:bottom w:val="none" w:sz="0" w:space="0" w:color="auto"/>
        <w:right w:val="none" w:sz="0" w:space="0" w:color="auto"/>
      </w:divBdr>
    </w:div>
    <w:div w:id="1864708781">
      <w:bodyDiv w:val="1"/>
      <w:marLeft w:val="0"/>
      <w:marRight w:val="0"/>
      <w:marTop w:val="0"/>
      <w:marBottom w:val="0"/>
      <w:divBdr>
        <w:top w:val="none" w:sz="0" w:space="0" w:color="auto"/>
        <w:left w:val="none" w:sz="0" w:space="0" w:color="auto"/>
        <w:bottom w:val="none" w:sz="0" w:space="0" w:color="auto"/>
        <w:right w:val="none" w:sz="0" w:space="0" w:color="auto"/>
      </w:divBdr>
    </w:div>
    <w:div w:id="1911961170">
      <w:bodyDiv w:val="1"/>
      <w:marLeft w:val="0"/>
      <w:marRight w:val="0"/>
      <w:marTop w:val="0"/>
      <w:marBottom w:val="0"/>
      <w:divBdr>
        <w:top w:val="none" w:sz="0" w:space="0" w:color="auto"/>
        <w:left w:val="none" w:sz="0" w:space="0" w:color="auto"/>
        <w:bottom w:val="none" w:sz="0" w:space="0" w:color="auto"/>
        <w:right w:val="none" w:sz="0" w:space="0" w:color="auto"/>
      </w:divBdr>
    </w:div>
    <w:div w:id="1914505282">
      <w:bodyDiv w:val="1"/>
      <w:marLeft w:val="0"/>
      <w:marRight w:val="0"/>
      <w:marTop w:val="0"/>
      <w:marBottom w:val="0"/>
      <w:divBdr>
        <w:top w:val="none" w:sz="0" w:space="0" w:color="auto"/>
        <w:left w:val="none" w:sz="0" w:space="0" w:color="auto"/>
        <w:bottom w:val="none" w:sz="0" w:space="0" w:color="auto"/>
        <w:right w:val="none" w:sz="0" w:space="0" w:color="auto"/>
      </w:divBdr>
    </w:div>
    <w:div w:id="1961253790">
      <w:bodyDiv w:val="1"/>
      <w:marLeft w:val="0"/>
      <w:marRight w:val="0"/>
      <w:marTop w:val="0"/>
      <w:marBottom w:val="0"/>
      <w:divBdr>
        <w:top w:val="none" w:sz="0" w:space="0" w:color="auto"/>
        <w:left w:val="none" w:sz="0" w:space="0" w:color="auto"/>
        <w:bottom w:val="none" w:sz="0" w:space="0" w:color="auto"/>
        <w:right w:val="none" w:sz="0" w:space="0" w:color="auto"/>
      </w:divBdr>
    </w:div>
    <w:div w:id="1984113398">
      <w:bodyDiv w:val="1"/>
      <w:marLeft w:val="0"/>
      <w:marRight w:val="0"/>
      <w:marTop w:val="0"/>
      <w:marBottom w:val="0"/>
      <w:divBdr>
        <w:top w:val="none" w:sz="0" w:space="0" w:color="auto"/>
        <w:left w:val="none" w:sz="0" w:space="0" w:color="auto"/>
        <w:bottom w:val="none" w:sz="0" w:space="0" w:color="auto"/>
        <w:right w:val="none" w:sz="0" w:space="0" w:color="auto"/>
      </w:divBdr>
    </w:div>
    <w:div w:id="2131435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sks2016/LUAD_signature_benchma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sks2016/LUAD_signature_benchmark" TargetMode="External"/><Relationship Id="rId5" Type="http://schemas.openxmlformats.org/officeDocument/2006/relationships/hyperlink" Target="https://github.com/msks2016/LUAD_signature_benchmar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37</Pages>
  <Words>15086</Words>
  <Characters>85991</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2026-10-12T09:51:00Z</dcterms:created>
  <dcterms:modified xsi:type="dcterms:W3CDTF">2026-10-13T01:24:00Z</dcterms:modified>
</cp:coreProperties>
</file>