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Default="00F87AC8">
      <w:pPr>
        <w:spacing w:after="360" w:line="360" w:lineRule="auto"/>
        <w:jc w:val="center"/>
      </w:pPr>
      <w:r>
        <w:rPr>
          <w:rFonts w:cs="Times New Roman"/>
          <w:b/>
          <w:bCs/>
          <w:sz w:val="32"/>
          <w:szCs w:val="32"/>
        </w:rPr>
        <w:t>Published lncRNA prognostic signatures for lung adenocarcinoma share a modest transportable signal, but none is individually validated: a pre-registered benchmark</w:t>
      </w:r>
    </w:p>
    <w:p w14:paraId="5D591994" w14:textId="77777777" w:rsidR="00AF6745" w:rsidRDefault="00F87AC8">
      <w:pPr>
        <w:spacing w:after="120" w:line="360" w:lineRule="auto"/>
      </w:pPr>
      <w:r>
        <w:rPr>
          <w:rFonts w:cs="Times New Roman"/>
        </w:rPr>
        <w:t>Running title: Benchmark of LUAD lncRNA prognostic signatures</w:t>
      </w:r>
    </w:p>
    <w:p w14:paraId="3E372A18" w14:textId="47CC4AAA" w:rsidR="00AF6745" w:rsidRDefault="00F87AC8">
      <w:pPr>
        <w:spacing w:after="120" w:line="360" w:lineRule="auto"/>
      </w:pPr>
      <w:r>
        <w:t>Authors: Mohammad Shahinur Karim¹, Ma Zhongliang¹, Li Yanli¹*</w:t>
      </w:r>
    </w:p>
    <w:p w14:paraId="6556A0B3" w14:textId="4C775EA6" w:rsidR="00AF6745" w:rsidRDefault="00F87AC8">
      <w:pPr>
        <w:spacing w:after="120" w:line="360" w:lineRule="auto"/>
      </w:pPr>
      <w:r>
        <w:t>¹ Lab of ncRNA and Cancer, School of Life Sciences, Shanghai University, Shanghai, China</w:t>
      </w:r>
    </w:p>
    <w:p w14:paraId="475FE5E4" w14:textId="65D5CA2B" w:rsidR="00AF6745" w:rsidRPr="00353EB0" w:rsidRDefault="00F87AC8" w:rsidP="00353EB0">
      <w:pPr>
        <w:rPr>
          <w:rFonts w:cs="Times New Roman"/>
        </w:rPr>
      </w:pPr>
      <w:r>
        <w:rPr>
          <w:rFonts w:cs="Times New Roman"/>
        </w:rPr>
        <w:t xml:space="preserve">* Correspondence: </w:t>
      </w:r>
      <w:r w:rsidR="00353EB0">
        <w:rPr>
          <w:rFonts w:cs="Times New Roman"/>
        </w:rPr>
        <w:t xml:space="preserve">shahinurkarim16@gmail.com, </w:t>
      </w:r>
      <w:hyperlink r:id="rId7" w:history="1">
        <w:r w:rsidR="00353EB0" w:rsidRPr="00C643A4">
          <w:rPr>
            <w:rStyle w:val="Hyperlink"/>
            <w:rFonts w:cs="Times New Roman"/>
          </w:rPr>
          <w:t>zlma@shu.edu.cn</w:t>
        </w:r>
      </w:hyperlink>
      <w:r w:rsidR="00353EB0">
        <w:rPr>
          <w:rFonts w:cs="Times New Roman"/>
          <w:highlight w:val="yellow"/>
        </w:rPr>
        <w:t xml:space="preserve">, </w:t>
      </w:r>
      <w:r w:rsidR="00B03974">
        <w:rPr>
          <w:rFonts w:cs="Times New Roman"/>
          <w:highlight w:val="yellow"/>
        </w:rPr>
        <w:t>mskarim</w:t>
      </w:r>
      <w:r w:rsidR="00353EB0">
        <w:rPr>
          <w:rFonts w:cs="Times New Roman"/>
          <w:highlight w:val="yellow"/>
        </w:rPr>
        <w:t>@</w:t>
      </w:r>
      <w:r w:rsidR="00B03974">
        <w:rPr>
          <w:rFonts w:cs="Times New Roman"/>
          <w:highlight w:val="yellow"/>
        </w:rPr>
        <w:t>shu.edu.cn</w:t>
      </w:r>
    </w:p>
    <w:p w14:paraId="45034720" w14:textId="77777777" w:rsidR="00AF6745" w:rsidRDefault="00F87AC8">
      <w:pPr>
        <w:spacing w:after="120" w:line="360" w:lineRule="auto"/>
      </w:pPr>
      <w:r>
        <w:t>Word count: abstract 319; main text 4743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rPr>
          <w:rFonts w:cs="Times New Roman"/>
          <w:b/>
          <w:bCs/>
        </w:rPr>
        <w:t>Background.</w:t>
      </w:r>
      <w:r>
        <w:rPr>
          <w:rFonts w:cs="Times New Roman"/>
        </w:rPr>
        <w:t xml:space="preserve"> Hundreds of long non-coding RNA (lncRNA) prognostic signatures have been published for lung adenocarcinoma (LUAD), mostly developed in TCGA-LUAD and rarely tested, with their published coefficients, in independent patients.</w:t>
      </w:r>
    </w:p>
    <w:p w14:paraId="670B1D83" w14:textId="77777777" w:rsidR="00AF6745" w:rsidRDefault="00F87AC8">
      <w:pPr>
        <w:spacing w:after="120" w:line="480" w:lineRule="auto"/>
      </w:pPr>
      <w:r>
        <w:rPr>
          <w:rFonts w:cs="Times New Roman"/>
          <w:b/>
          <w:bCs/>
        </w:rPr>
        <w:t>Methods.</w:t>
      </w:r>
      <w:r>
        <w:rPr>
          <w:rFonts w:cs="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for overall survival with 2,000 expression-matched random gene sets (H1; Holm correction within cohort), tested added value beyond stage, sex and age (H2), and compared performance across cohorts (H3). An aggregate transportability analysis was added after registration.</w:t>
      </w:r>
    </w:p>
    <w:p w14:paraId="307819EF" w14:textId="77777777" w:rsidR="00AF6745" w:rsidRDefault="00F87AC8">
      <w:pPr>
        <w:spacing w:after="120" w:line="480" w:lineRule="auto"/>
      </w:pPr>
      <w:r>
        <w:rPr>
          <w:rFonts w:cs="Times New Roman"/>
          <w:b/>
          <w:bCs/>
        </w:rPr>
        <w:t>Results.</w:t>
      </w:r>
      <w:r>
        <w:rPr>
          <w:rFonts w:cs="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14:paraId="0A87BC85" w14:textId="77777777" w:rsidR="00AF6745" w:rsidRDefault="00F87AC8">
      <w:pPr>
        <w:spacing w:after="120" w:line="480" w:lineRule="auto"/>
      </w:pPr>
      <w:r>
        <w:rPr>
          <w:rFonts w:cs="Times New Roman"/>
          <w:b/>
          <w:bCs/>
        </w:rPr>
        <w:t>Conclusions.</w:t>
      </w:r>
      <w:r>
        <w:rPr>
          <w:rFonts w:cs="Times New Roman"/>
        </w:rPr>
        <w:t xml:space="preserve"> Published LUAD lncRNA signatures share a modest prognostic signal that transports to independent cohorts, but no single signature could be shown to outperform </w:t>
      </w:r>
      <w:r>
        <w:rPr>
          <w:rFonts w:cs="Times New Roman"/>
        </w:rPr>
        <w:lastRenderedPageBreak/>
        <w:t>random genes. Public cohorts measure too few lncRNAs and record too few deaths to validate individual signatures; stable gene identifiers, a stated expression scale and larger lncRNA-capable cohorts are needed.</w:t>
      </w:r>
    </w:p>
    <w:p w14:paraId="1457F3DD" w14:textId="77777777" w:rsidR="00AF6745" w:rsidRDefault="00F87AC8">
      <w:pPr>
        <w:spacing w:after="120" w:line="480" w:lineRule="auto"/>
      </w:pPr>
      <w:r>
        <w:rPr>
          <w:rFonts w:cs="Times New Roman"/>
          <w:b/>
          <w:bCs/>
        </w:rPr>
        <w:t>Keywords:</w:t>
      </w:r>
      <w:r>
        <w:rPr>
          <w:rFonts w:cs="Times New Roman"/>
        </w:rPr>
        <w:t xml:space="preserve"> lung adenocarcinoma; long non-coding RNA; prognostic signature; external validation; reproducibility; pre-registration; random gene sets.</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rPr>
          <w:rFonts w:cs="Times New Roman"/>
        </w:rPr>
        <w:t>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rPr>
          <w:rFonts w:cs="Times New Roman"/>
        </w:rPr>
        <w:t>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rPr>
          <w:rFonts w:cs="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w:t>
      </w:r>
      <w:r>
        <w:rPr>
          <w:rFonts w:cs="Times New Roman"/>
        </w:rPr>
        <w:lastRenderedPageBreak/>
        <w:t>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rPr>
          <w:rFonts w:cs="Times New Roman"/>
        </w:rPr>
        <w:t>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rPr>
          <w:rFonts w:cs="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rPr>
          <w:rFonts w:cs="Times New Roman"/>
        </w:rP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34F753BF" w:rsidR="00AF6745" w:rsidRDefault="00F87AC8">
      <w:pPr>
        <w:spacing w:after="120" w:line="480" w:lineRule="auto"/>
      </w:pPr>
      <w:r>
        <w:rPr>
          <w:rFonts w:cs="Times New Roman"/>
        </w:rPr>
        <w:t xml:space="preserve">We searched PubMed on </w:t>
      </w:r>
      <w:r>
        <w:rPr>
          <w:rFonts w:cs="Times New Roman"/>
          <w:highlight w:val="yellow"/>
        </w:rPr>
        <w:t>[</w:t>
      </w:r>
      <w:r w:rsidR="003B52E0">
        <w:rPr>
          <w:rFonts w:cs="Times New Roman"/>
          <w:highlight w:val="yellow"/>
        </w:rPr>
        <w:t>12.09.2026 — 03.10.2026</w:t>
      </w:r>
      <w:r>
        <w:rPr>
          <w:rFonts w:cs="Times New Roman"/>
          <w:highlight w:val="yellow"/>
        </w:rPr>
        <w:t>]</w:t>
      </w:r>
      <w:r>
        <w:rPr>
          <w:rFonts w:cs="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rPr>
          <w:rFonts w:cs="Times New Roman"/>
        </w:rP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rPr>
          <w:rFonts w:cs="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w:t>
      </w:r>
      <w:r>
        <w:rPr>
          <w:rFonts w:cs="Times New Roman"/>
        </w:rPr>
        <w:lastRenderedPageBreak/>
        <w:t>more than one primary-tumour sample, the sample with the largest total read count was kept. The endpoint was overall survival, in months (days / 30.4375). Stage was coded I–IV; in GSE30219 it was derived from pT, pN and pM.</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rPr>
          <w:rFonts w:cs="Times New Roman"/>
        </w:rPr>
        <w:t>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rPr>
          <w:rFonts w:cs="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w:t>
      </w:r>
      <w:r>
        <w:rPr>
          <w:rFonts w:cs="Times New Roman"/>
        </w:rPr>
        <w:lastRenderedPageBreak/>
        <w:t>original identifier was not measurable there. For GSE81089, annotated with the older Ensembl 73, we checked by a rule fixed before any outcome analysis whether any older identifier led to a missing signature gene; none did.</w:t>
      </w:r>
    </w:p>
    <w:p w14:paraId="290244F8" w14:textId="77777777" w:rsidR="00AF6745" w:rsidRDefault="00F87AC8">
      <w:pPr>
        <w:spacing w:after="120" w:line="480" w:lineRule="auto"/>
      </w:pPr>
      <w:r>
        <w:rPr>
          <w:rFonts w:cs="Times New Roman"/>
        </w:rP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rPr>
          <w:rFonts w:cs="Times New Roman"/>
        </w:rPr>
        <w:t>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rPr>
          <w:rFonts w:cs="Times New Roman"/>
        </w:rPr>
        <w:t>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rPr>
          <w:rFonts w:cs="Times New Roman"/>
        </w:rP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rPr>
          <w:rFonts w:cs="Times New Roman"/>
        </w:rPr>
        <w:t>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A Cox model with stage (four levels), sex and age was compared with the same model plus the standardised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rPr>
          <w:rFonts w:cs="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rPr>
          <w:rFonts w:cs="Times New Roman"/>
        </w:rP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rPr>
          <w:rFonts w:cs="Times New Roman"/>
        </w:rPr>
        <w:t>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rPr>
          <w:rFonts w:cs="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rPr>
          <w:rFonts w:cs="Times New Roman"/>
        </w:rP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rPr>
          <w:rFonts w:cs="Times New Roman"/>
        </w:rPr>
        <w:t>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rPr>
          <w:rFonts w:cs="Times New Roman"/>
        </w:rP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4233FB94" w14:textId="2643E274" w:rsidR="00AF6745" w:rsidRDefault="00F87AC8">
      <w:pPr>
        <w:spacing w:after="120" w:line="480" w:lineRule="auto"/>
      </w:pPr>
      <w:r>
        <w:rPr>
          <w:rFonts w:cs="Times New Roman"/>
        </w:rPr>
        <w:lastRenderedPageBreak/>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sidR="00353EB0" w:rsidRPr="00353EB0">
        <w:rPr>
          <w:rFonts w:cs="Times New Roman"/>
        </w:rPr>
        <w:t>https://github.com/msks2016/LUAD_signature_benchmark</w:t>
      </w:r>
      <w:r>
        <w:rPr>
          <w:rFonts w:cs="Times New Roman"/>
        </w:rPr>
        <w:t>.</w:t>
      </w:r>
    </w:p>
    <w:p w14:paraId="5F4725BF" w14:textId="77777777" w:rsidR="00AF6745" w:rsidRDefault="00F87AC8">
      <w:pPr>
        <w:pStyle w:val="Heading1"/>
        <w:spacing w:before="360" w:after="120"/>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rPr>
          <w:rFonts w:cs="Times New Roman"/>
        </w:rP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rPr>
          <w:rFonts w:cs="Times New Roman"/>
        </w:rP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rPr>
          <w:rFonts w:cs="Times New Roman"/>
        </w:rPr>
        <w:t xml:space="preserve">Coverage varied more between platforms than between signatures (Figure 2). All 15 signatures were evaluable in TCGA-LUAD and CPTAC-3, eight in GSE81089, two in each GPL570 cohort and none in GSE72094. On the GPL570 arrays, Yu 2024 (8 of 9 genes) was </w:t>
      </w:r>
      <w:r>
        <w:rPr>
          <w:rFonts w:cs="Times New Roman"/>
        </w:rPr>
        <w:lastRenderedPageBreak/>
        <w:t>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rPr>
          <w:rFonts w:cs="Times New Roman"/>
        </w:rPr>
        <w:t>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rPr>
          <w:rFonts w:cs="Times New Roman"/>
        </w:rP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lastRenderedPageBreak/>
        <w:t>H3: attenuation from TCGA-LUAD to independent cohorts</w:t>
      </w:r>
    </w:p>
    <w:p w14:paraId="3572D05E" w14:textId="77777777" w:rsidR="00AF6745" w:rsidRDefault="00F87AC8">
      <w:pPr>
        <w:spacing w:after="120" w:line="480" w:lineRule="auto"/>
      </w:pPr>
      <w:r>
        <w:rPr>
          <w:rFonts w:cs="Times New Roman"/>
        </w:rPr>
        <w:t>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rPr>
          <w:rFonts w:cs="Times New Roman"/>
        </w:rP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rPr>
          <w:rFonts w:cs="Times New Roman"/>
        </w:rPr>
        <w:t>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rPr>
          <w:rFonts w:cs="Times New Roman"/>
        </w:rPr>
        <w:lastRenderedPageBreak/>
        <w:t>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rPr>
          <w:rFonts w:cs="Times New Roman"/>
        </w:rP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rPr>
          <w:rFonts w:cs="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w:t>
      </w:r>
      <w:r>
        <w:rPr>
          <w:rFonts w:cs="Times New Roman"/>
        </w:rPr>
        <w:lastRenderedPageBreak/>
        <w:t>difference was rounding of the same value, one concerned AUC values rather than coefficients or counts, and one was not confirmed.</w:t>
      </w:r>
    </w:p>
    <w:p w14:paraId="1A1E7CD3" w14:textId="77777777" w:rsidR="00AF6745" w:rsidRDefault="00F87AC8">
      <w:pPr>
        <w:pStyle w:val="Heading1"/>
        <w:spacing w:before="360" w:after="120"/>
      </w:pPr>
      <w:r>
        <w:t>Discussion</w:t>
      </w:r>
    </w:p>
    <w:p w14:paraId="1EA77489" w14:textId="77777777" w:rsidR="00AF6745" w:rsidRDefault="00F87AC8">
      <w:pPr>
        <w:spacing w:after="120" w:line="480" w:lineRule="auto"/>
      </w:pPr>
      <w:r>
        <w:rPr>
          <w:rFonts w:cs="Times New Roman"/>
        </w:rPr>
        <w:t>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14:paraId="192E70A6" w14:textId="77777777" w:rsidR="00AF6745" w:rsidRDefault="00F87AC8">
      <w:pPr>
        <w:spacing w:after="120" w:line="480" w:lineRule="auto"/>
      </w:pPr>
      <w:r>
        <w:rPr>
          <w:rFonts w:cs="Times New Roman"/>
        </w:rPr>
        <w:t>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lastRenderedPageBreak/>
        <w:t>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14:paraId="2DF0B17B" w14:textId="77777777" w:rsidR="00AF6745" w:rsidRDefault="00F87AC8">
      <w:pPr>
        <w:spacing w:after="120" w:line="480" w:lineRule="auto"/>
      </w:pPr>
      <w:r>
        <w:rPr>
          <w:rFonts w:cs="Times New Roman"/>
        </w:rPr>
        <w:t>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rPr>
          <w:rFonts w:cs="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w:t>
      </w:r>
      <w:r>
        <w:rPr>
          <w:rFonts w:cs="Times New Roman"/>
        </w:rPr>
        <w:lastRenderedPageBreak/>
        <w:t>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rPr>
          <w:rFonts w:cs="Times New Roman"/>
        </w:rPr>
        <w:t>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Strengths of this study include pre-registration with three updates filed before the analyses and a post-analysis disclosure of every later change,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t>
      </w:r>
      <w:r>
        <w:lastRenderedPageBreak/>
        <w:t>was added after the results were seen. Third, an earlier version of the analysis had been run on part of the data before the code errors were found; the results that had been seen are listed in Update 3, and the v2 analyses followed the registered rules. Changes to gene mapping made after Update 3 were fixed in version control before the analyses but filed on OSF only afterwards, in Update 4.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rPr>
          <w:rFonts w:cs="Times New Roman"/>
        </w:rPr>
        <w:t>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rFonts w:cs="Times New Roman"/>
          <w:b/>
          <w:bCs/>
        </w:rPr>
        <w:t>Ethics approval and consent to participate.</w:t>
      </w:r>
      <w:r>
        <w:rPr>
          <w:rFonts w:cs="Times New Roman"/>
        </w:rPr>
        <w:t xml:space="preserve"> Not applicable: the study used publicly available, de-identified data.</w:t>
      </w:r>
    </w:p>
    <w:p w14:paraId="4D6FF26C" w14:textId="77777777" w:rsidR="00AF6745" w:rsidRDefault="00F87AC8">
      <w:pPr>
        <w:spacing w:after="120" w:line="480" w:lineRule="auto"/>
      </w:pPr>
      <w:r>
        <w:rPr>
          <w:b/>
        </w:rPr>
        <w:t>Consent for publication.</w:t>
      </w:r>
      <w:r>
        <w:t xml:space="preserve"> Not applicable.</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rFonts w:cs="Times New Roman"/>
          <w:b/>
          <w:bCs/>
        </w:rPr>
        <w:lastRenderedPageBreak/>
        <w:t>Data availability.</w:t>
      </w:r>
      <w:r>
        <w:rPr>
          <w:rFonts w:cs="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14:paraId="25E8EA6B" w14:textId="35ADB4DC" w:rsidR="00AF6745" w:rsidRDefault="00F87AC8">
      <w:pPr>
        <w:spacing w:after="120" w:line="480" w:lineRule="auto"/>
      </w:pPr>
      <w:r>
        <w:rPr>
          <w:rFonts w:cs="Times New Roman"/>
          <w:b/>
          <w:bCs/>
        </w:rPr>
        <w:t>Code availability.</w:t>
      </w:r>
      <w:r>
        <w:rPr>
          <w:rFonts w:cs="Times New Roman"/>
        </w:rPr>
        <w:t xml:space="preserve"> The analysis code, gene mappings, unit tests and deviations log will be released at </w:t>
      </w:r>
      <w:r w:rsidR="00353EB0" w:rsidRPr="00353EB0">
        <w:rPr>
          <w:rFonts w:cs="Times New Roman"/>
        </w:rPr>
        <w:t>https://github.com/msks2016/LUAD_signature_benchmark</w:t>
      </w:r>
      <w:r>
        <w:rPr>
          <w:rFonts w:cs="Times New Roman"/>
        </w:rPr>
        <w:t xml:space="preserve"> on publication; the registration and its updates are at osf.io/qckvr.</w:t>
      </w:r>
    </w:p>
    <w:p w14:paraId="7375C29D" w14:textId="0A241AFE" w:rsidR="00AF6745" w:rsidRDefault="00F87AC8">
      <w:pPr>
        <w:spacing w:after="120" w:line="480" w:lineRule="auto"/>
      </w:pPr>
      <w:r>
        <w:rPr>
          <w:rFonts w:cs="Times New Roman"/>
          <w:b/>
          <w:bCs/>
        </w:rPr>
        <w:t>Competing interests.</w:t>
      </w:r>
      <w:r>
        <w:rPr>
          <w:rFonts w:cs="Times New Roman"/>
        </w:rPr>
        <w:t xml:space="preserve"> The authors declare no competing interests.</w:t>
      </w:r>
    </w:p>
    <w:p w14:paraId="07B806A3" w14:textId="2F12EC0F" w:rsidR="00AF6745" w:rsidRDefault="00F87AC8">
      <w:pPr>
        <w:spacing w:after="120" w:line="480" w:lineRule="auto"/>
      </w:pPr>
      <w:r>
        <w:rPr>
          <w:b/>
        </w:rPr>
        <w:t>Funding.</w:t>
      </w:r>
      <w:r>
        <w:t xml:space="preserve"> This work was supported by Shanghai University research funds (grant number 2683465). </w:t>
      </w:r>
      <w:r>
        <w:rPr>
          <w:highlight w:val="yellow"/>
        </w:rPr>
        <w:t>The funder had no role in the study design, data analysis, interpretation of the results or writing of the manuscript.</w:t>
      </w:r>
    </w:p>
    <w:p w14:paraId="39E34999" w14:textId="72C6CF06" w:rsidR="00AF6745" w:rsidRDefault="00F87AC8">
      <w:pPr>
        <w:spacing w:after="120" w:line="480" w:lineRule="auto"/>
      </w:pPr>
      <w:r>
        <w:rPr>
          <w:b/>
        </w:rPr>
        <w:t>Author contributions.</w:t>
      </w:r>
      <w:r>
        <w:t xml:space="preserve"> </w:t>
      </w:r>
      <w:r>
        <w:rPr>
          <w:highlight w:val="yellow"/>
        </w:rPr>
        <w:t>M.S.K.: conceptualization, methodology, software, formal analysis, data curation, investigation, visualization, writing – original draft. Z.M.: supervision, methodology, writing – review and editing. Y.L.: conceptualization, supervision, funding acquisition, project administration, writing – review and editing. All authors read and approved the final manuscript.</w:t>
      </w:r>
    </w:p>
    <w:p w14:paraId="2D46349C" w14:textId="507C0DD0" w:rsidR="00300A1F" w:rsidRDefault="00F87AC8" w:rsidP="00300A1F">
      <w:pPr>
        <w:spacing w:after="120" w:line="480" w:lineRule="auto"/>
      </w:pPr>
      <w:r>
        <w:rPr>
          <w:b/>
        </w:rPr>
        <w:t>Acknowledgements.</w:t>
      </w:r>
      <w:r>
        <w:t xml:space="preserve"> We thank Moinul Islam, Emdadul Haque, Refat Ferdous, Rean Khan and Abeed </w:t>
      </w:r>
      <w:r w:rsidR="00B03974">
        <w:t>Ahmed</w:t>
      </w:r>
      <w:r>
        <w:t xml:space="preserve"> for reading full texts and extracting signature coefficients, and Moinul Islam and Emdadul Haque for second coding and verification of the reporting-completeness items.</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rPr>
          <w:rFonts w:cs="Times New Roman"/>
        </w:rPr>
        <w:t xml:space="preserve">1. Bray F, Laversanne M, Sung H, Ferlay J, Siegel RL, Soerjomataram I, et al. Global cancer statistics 2022: GLOBOCAN estimates of incidence and mortality worldwide for 36 </w:t>
      </w:r>
      <w:r>
        <w:rPr>
          <w:rFonts w:cs="Times New Roman"/>
        </w:rPr>
        <w:lastRenderedPageBreak/>
        <w:t>cancers in 185 countries. CA Cancer J Clin. 2024;74(3):229-263. doi:10.3322/caac.21834</w:t>
      </w:r>
    </w:p>
    <w:p w14:paraId="5B778F1C" w14:textId="77777777" w:rsidR="00AF6745" w:rsidRDefault="00F87AC8">
      <w:pPr>
        <w:spacing w:after="80" w:line="360" w:lineRule="auto"/>
        <w:ind w:left="440" w:hanging="440"/>
      </w:pPr>
      <w:r>
        <w:rPr>
          <w:rFonts w:cs="Times New Roman"/>
        </w:rP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rPr>
          <w:rFonts w:cs="Times New Roman"/>
        </w:rPr>
        <w:t>3. Statello L, Guo CJ, Chen LL, Huarte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rPr>
          <w:rFonts w:cs="Times New Roman"/>
        </w:rPr>
        <w:t>4. Du Z, Fei T, Verhaak RG, Su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rPr>
          <w:rFonts w:cs="Times New Roman"/>
        </w:rPr>
        <w:t>5. Venet D, Dumont JE, Detours V. Most random gene expression signatures are significantly associated with breast cancer outcome. PLoS Comput Biol. 2011;7(10):e1002240. doi:10.1371/journal.pcbi.1002240</w:t>
      </w:r>
    </w:p>
    <w:p w14:paraId="72408F7C" w14:textId="77777777" w:rsidR="00AF6745" w:rsidRDefault="00F87AC8">
      <w:pPr>
        <w:spacing w:after="80" w:line="360" w:lineRule="auto"/>
        <w:ind w:left="440" w:hanging="440"/>
      </w:pPr>
      <w:r>
        <w:rPr>
          <w:rFonts w:cs="Times New Roman"/>
        </w:rPr>
        <w:t>6. Michiels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rPr>
          <w:rFonts w:cs="Times New Roman"/>
        </w:rPr>
        <w:t>7. Collins GS, Ogundimu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rPr>
          <w:rFonts w:cs="Times New Roman"/>
        </w:rPr>
        <w:t>8. Riley RD, Collins GS, Ensor J, Archer L, Booth S, Mozumder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rPr>
          <w:rFonts w:cs="Times New Roman"/>
        </w:rPr>
        <w:t>9. McShane LM, Altman DG, Sauerbrei W, Taube SE, Gion M, Clark GM. Reporting recommendations for tumor marker prognostic studies (REMARK). J Natl Cancer Inst. 2005;97(16):1180-4. doi:10.1093/jnci/dji237</w:t>
      </w:r>
    </w:p>
    <w:p w14:paraId="7A488146" w14:textId="77777777" w:rsidR="00AF6745" w:rsidRDefault="00F87AC8">
      <w:pPr>
        <w:spacing w:after="80" w:line="360" w:lineRule="auto"/>
        <w:ind w:left="440" w:hanging="440"/>
      </w:pPr>
      <w:r>
        <w:rPr>
          <w:rFonts w:cs="Times New Roman"/>
        </w:rPr>
        <w:t>10. Collins GS, Moons KGM, Dhiman P, Riley RD, Beam AL, Van Calster B, et al. TRIPOD+AI statement: updated guidance for reporting clinical prediction models that use regression or machine learning methods. BMJ. 2024;385:e078378. doi:10.1136/bmj-2023-078378</w:t>
      </w:r>
    </w:p>
    <w:p w14:paraId="4A945576" w14:textId="77777777" w:rsidR="00AF6745" w:rsidRDefault="00F87AC8">
      <w:pPr>
        <w:spacing w:after="80" w:line="360" w:lineRule="auto"/>
        <w:ind w:left="440" w:hanging="440"/>
      </w:pPr>
      <w:r>
        <w:rPr>
          <w:rFonts w:cs="Times New Roman"/>
        </w:rPr>
        <w:t>11. Zhao W, He X, Hoadley KA, Parker JS, Hayes DN, Perou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rPr>
          <w:rFonts w:cs="Times New Roman"/>
        </w:rPr>
        <w:lastRenderedPageBreak/>
        <w:t>12. Frankish A, Diekhans M, Jungreis I, Lagarde J, Loveland JE, Mudge JM, et al. GENCODE 2021. Nucleic Acids Res. 2021;49(D1):D916-D923. doi:10.1093/nar/gkaa1087</w:t>
      </w:r>
    </w:p>
    <w:p w14:paraId="7B22855A" w14:textId="77777777" w:rsidR="00AF6745" w:rsidRDefault="00F87AC8">
      <w:pPr>
        <w:spacing w:after="80" w:line="360" w:lineRule="auto"/>
        <w:ind w:left="440" w:hanging="440"/>
      </w:pPr>
      <w:r>
        <w:rPr>
          <w:rFonts w:cs="Times New Roman"/>
        </w:rPr>
        <w:t>13. Harrison PW, Amode MR, Austine-Orimoloye O, Azov AG, Barba M, Barnes I, et al. Ensembl 2024. Nucleic Acids Res. 2024;52(D1):D891-D899. doi:10.1093/nar/gkad1049</w:t>
      </w:r>
    </w:p>
    <w:p w14:paraId="7662C68D" w14:textId="77777777" w:rsidR="00AF6745" w:rsidRDefault="00F87AC8">
      <w:pPr>
        <w:spacing w:after="80" w:line="360" w:lineRule="auto"/>
        <w:ind w:left="440" w:hanging="440"/>
      </w:pPr>
      <w:r>
        <w:rPr>
          <w:rFonts w:cs="Times New Roman"/>
        </w:rPr>
        <w:t>14. Altman DG, McShane LM, Sauerbrei W, Taube SE. Reporting Recommendations for Tumor Marker Prognostic Studies (REMARK): explanation and elaboration. PLoS Med. 2012;9(5):e1001216. doi:10.1371/journal.pmed.1001216</w:t>
      </w:r>
    </w:p>
    <w:p w14:paraId="46680EFA" w14:textId="77777777" w:rsidR="00AF6745" w:rsidRDefault="00F87AC8">
      <w:pPr>
        <w:spacing w:after="80" w:line="360" w:lineRule="auto"/>
        <w:ind w:left="440" w:hanging="440"/>
      </w:pPr>
      <w:r>
        <w:rPr>
          <w:rFonts w:cs="Times New Roman"/>
        </w:rPr>
        <w:t>15. Yang Z, Cao S, Wang F, Du K, Hu F. Characterization and Prognosis of Biological Microenvironment in Lung Adenocarcinoma through a Disulfidptosis-Related lncRNAs Signature. Genet Res (Camb). 2023;2023:6670514. doi:10.1155/2023/6670514</w:t>
      </w:r>
    </w:p>
    <w:p w14:paraId="21135B1F" w14:textId="77777777" w:rsidR="00AF6745" w:rsidRDefault="00F87AC8">
      <w:pPr>
        <w:spacing w:after="80" w:line="360" w:lineRule="auto"/>
        <w:ind w:left="440" w:hanging="440"/>
      </w:pPr>
      <w:r>
        <w:rPr>
          <w:rFonts w:cs="Times New Roman"/>
        </w:rPr>
        <w:t>16. Diao X, Guo C, Li S. Construction of a Novel Prognostic Signature in Lung Adenocarcinoma Based on Necroptosis-Related lncRNAs. Front Genet. 2022;13:833362. doi:10.3389/fgene.2022.833362</w:t>
      </w:r>
    </w:p>
    <w:p w14:paraId="7E9B86FB" w14:textId="77777777" w:rsidR="00AF6745" w:rsidRDefault="00F87AC8">
      <w:pPr>
        <w:spacing w:after="80" w:line="360" w:lineRule="auto"/>
        <w:ind w:left="440" w:hanging="440"/>
      </w:pPr>
      <w:r>
        <w:rPr>
          <w:rFonts w:cs="Times New Roman"/>
        </w:rPr>
        <w:t>17. He C, Yin H, Zheng J, Tang J, Fu Y, Zhao X. Identification of immune-associated lncRNAs as a prognostic marker for lung adenocarcinoma. Transl Cancer Res. 2021;10(2):998-1012. doi:10.21037/tcr-20-2827</w:t>
      </w:r>
    </w:p>
    <w:p w14:paraId="2F963968" w14:textId="77777777" w:rsidR="00AF6745" w:rsidRDefault="00F87AC8">
      <w:pPr>
        <w:spacing w:after="80" w:line="360" w:lineRule="auto"/>
        <w:ind w:left="440" w:hanging="440"/>
      </w:pPr>
      <w:r>
        <w:rPr>
          <w:rFonts w:cs="Times New Roman"/>
        </w:rPr>
        <w:t>18. Jin D, Song Y, Chen Y, Zhang P. Identification of a Seven-lncRNA Immune Risk Signature and Construction of a Predictive Nomogram for Lung Adenocarcinoma. Biomed Res Int. 2020;2020:7929132. doi:10.1155/2020/7929132</w:t>
      </w:r>
    </w:p>
    <w:p w14:paraId="312505C0" w14:textId="77777777" w:rsidR="00AF6745" w:rsidRDefault="00F87AC8">
      <w:pPr>
        <w:spacing w:after="80" w:line="360" w:lineRule="auto"/>
        <w:ind w:left="440" w:hanging="440"/>
      </w:pPr>
      <w:r>
        <w:rPr>
          <w:rFonts w:cs="Times New Roman"/>
        </w:rPr>
        <w:t>19. Geng W, Lv Z, Fan J, Xu J, Mao K, Yin Z, et al. Identification of the Prognostic Significance of Somatic Mutation-Derived LncRNA Signatures of Genomic Instability in Lung Adenocarcinoma. Front Cell Dev Biol. 2021;9:657667. doi:10.3389/fcell.2021.657667</w:t>
      </w:r>
    </w:p>
    <w:p w14:paraId="745A6EB7" w14:textId="77777777" w:rsidR="00AF6745" w:rsidRDefault="00F87AC8">
      <w:pPr>
        <w:spacing w:after="80" w:line="360" w:lineRule="auto"/>
        <w:ind w:left="440" w:hanging="440"/>
      </w:pPr>
      <w:r>
        <w:rPr>
          <w:rFonts w:cs="Times New Roman"/>
        </w:rPr>
        <w:t>20. Zheng Z, Zhang Q, Wu W, Xue Y, Liu S, Chen Q, et al. Identification and Validation of a Ferroptosis-Related Long Non-coding RNA Signature for Predicting the Outcome of Lung Adenocarcinoma. Front Genet. 2021;12:690509. doi:10.3389/fgene.2021.690509</w:t>
      </w:r>
    </w:p>
    <w:p w14:paraId="4C5645C3" w14:textId="77777777" w:rsidR="00AF6745" w:rsidRDefault="00F87AC8">
      <w:pPr>
        <w:spacing w:after="80" w:line="360" w:lineRule="auto"/>
        <w:ind w:left="440" w:hanging="440"/>
      </w:pPr>
      <w:r>
        <w:rPr>
          <w:rFonts w:cs="Times New Roman"/>
        </w:rPr>
        <w:t>21. Li L, Cai Q, Wu Z, Li X, Zhou W, Lu L, et al. Bioinformatics construction and experimental validation of a cuproptosis-related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rPr>
          <w:rFonts w:cs="Times New Roman"/>
        </w:rPr>
        <w:lastRenderedPageBreak/>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rPr>
          <w:rFonts w:cs="Times New Roman"/>
        </w:rPr>
        <w:t>23. Zhang G, Liu C, Wang Y. Development of a Prognostic m6A-Related lncRNA Signature and Functional Validation of FAM83A-AS1 in Lung Adenocarcinoma. Onco Targets Ther. 2025;18:1107-1123. doi:10.2147/OTT.S538953</w:t>
      </w:r>
    </w:p>
    <w:p w14:paraId="50685CA4" w14:textId="77777777" w:rsidR="00AF6745" w:rsidRDefault="00F87AC8">
      <w:pPr>
        <w:spacing w:after="80" w:line="360" w:lineRule="auto"/>
        <w:ind w:left="440" w:hanging="440"/>
      </w:pPr>
      <w:r>
        <w:rPr>
          <w:rFonts w:cs="Times New Roman"/>
        </w:rPr>
        <w:t>24. Wu J, Song D, Zhao G, Chen S, Ren H, Zhang B. Cross-talk between necroptosis-related lncRNAs to construct a novel signature and predict the immune landscape of lung adenocarcinoma patients. Front Genet. 2022;13:966896. doi:10.3389/fgene.2022.966896</w:t>
      </w:r>
    </w:p>
    <w:p w14:paraId="4EB6DC57" w14:textId="77777777" w:rsidR="00AF6745" w:rsidRDefault="00F87AC8">
      <w:pPr>
        <w:spacing w:after="80" w:line="360" w:lineRule="auto"/>
        <w:ind w:left="440" w:hanging="440"/>
      </w:pPr>
      <w:r>
        <w:rPr>
          <w:rFonts w:cs="Times New Roman"/>
        </w:rPr>
        <w:t>25. Song J, Sun Y, Cao H, Liu Z, Xi L, Dong C, et al. A novel pyroptosis-related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rPr>
          <w:rFonts w:cs="Times New Roman"/>
        </w:rPr>
        <w:t>26. Yang L, Guo G, Yu X, Wen Y, Lin Y, Zhang R, et al. Mutation-Derived Long Noncoding RNA Signature Predicts Survival in Lung Adenocarcinoma. Front Oncol. 2022;12:780631. doi:10.3389/fonc.2022.780631</w:t>
      </w:r>
    </w:p>
    <w:p w14:paraId="3C78629F" w14:textId="77777777" w:rsidR="00AF6745" w:rsidRDefault="00F87AC8">
      <w:pPr>
        <w:spacing w:after="80" w:line="360" w:lineRule="auto"/>
        <w:ind w:left="440" w:hanging="440"/>
      </w:pPr>
      <w:r>
        <w:rPr>
          <w:rFonts w:cs="Times New Roman"/>
        </w:rP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rPr>
          <w:rFonts w:cs="Times New Roman"/>
        </w:rP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rPr>
          <w:rFonts w:cs="Times New Roman"/>
        </w:rPr>
        <w:t>29. Zhang Z, Yang L, Li Y, Wu Y, Li X, Wu X. Four long noncoding RNAs act as biomarkers in lung adenocarcinoma. Open Med (Wars). 2021;16(1):660-671. doi:10.1515/med-2021-0276</w:t>
      </w:r>
    </w:p>
    <w:p w14:paraId="7D9C0290" w14:textId="77777777" w:rsidR="00AF6745" w:rsidRDefault="00F87AC8">
      <w:pPr>
        <w:spacing w:after="80" w:line="360" w:lineRule="auto"/>
        <w:ind w:left="440" w:hanging="440"/>
      </w:pPr>
      <w:r>
        <w:rPr>
          <w:rFonts w:cs="Times New Roman"/>
        </w:rPr>
        <w:t>30. Gillette MA, Satpathy S, Cao S, Dhanasekaran SM, Vasaikar SV, Krug K, et al. Proteogenomic Characterization Reveals Therapeutic Vulnerabilities in Lung Adenocarcinoma. Cell. 2020;182(1):200-225.e35. doi:10.1016/j.cell.2020.06.013</w:t>
      </w:r>
    </w:p>
    <w:p w14:paraId="651B3975" w14:textId="77777777" w:rsidR="00AF6745" w:rsidRDefault="00F87AC8">
      <w:pPr>
        <w:spacing w:after="80" w:line="360" w:lineRule="auto"/>
        <w:ind w:left="440" w:hanging="440"/>
      </w:pPr>
      <w:r>
        <w:rPr>
          <w:rFonts w:cs="Times New Roman"/>
        </w:rPr>
        <w:t>31. Okayama H, Kohno T, Ishii Y, Shimada Y, Shiraishi K, Iwakawa R, et al. Identification of genes upregulated in ALK-positive and EGFR/KRAS/ALK-negative lung adenocarcinomas. Cancer Res. 2012;72(1):100-11. doi:10.1158/0008-5472.CAN-11-1403</w:t>
      </w:r>
    </w:p>
    <w:p w14:paraId="6078341D" w14:textId="77777777" w:rsidR="00AF6745" w:rsidRDefault="00F87AC8">
      <w:pPr>
        <w:spacing w:after="80" w:line="360" w:lineRule="auto"/>
        <w:ind w:left="440" w:hanging="440"/>
      </w:pPr>
      <w:r>
        <w:rPr>
          <w:rFonts w:cs="Times New Roman"/>
        </w:rPr>
        <w:lastRenderedPageBreak/>
        <w:t>32. Der SD, Sykes J, Pintilie M, Zhu CQ, Strumpf D, Liu N, et al. Validation of a histology-independent prognostic gene signature for early-stage, non-small-cell lung cancer including stage IA patients. J Thorac Oncol. 2014;9(1):59-64. doi:10.1097/JTO.0000000000000042</w:t>
      </w:r>
    </w:p>
    <w:p w14:paraId="7E742AFA" w14:textId="77777777" w:rsidR="00AF6745" w:rsidRDefault="00F87AC8">
      <w:pPr>
        <w:spacing w:after="80" w:line="360" w:lineRule="auto"/>
        <w:ind w:left="440" w:hanging="440"/>
      </w:pPr>
      <w:r>
        <w:rPr>
          <w:rFonts w:cs="Times New Roman"/>
        </w:rPr>
        <w:t>33. Rousseaux S, Debernardi A, Jacquiau B, Vitte AL, Vesin A, Nagy-Mignotte H, et al. Ectopic activation of germline and placental genes identifies aggressive metastasis-prone lung cancers. Sci Transl Med. 2013;5(186):186ra66. doi:10.1126/scitranslmed.3005723</w:t>
      </w:r>
    </w:p>
    <w:p w14:paraId="49A1AEFB" w14:textId="77777777" w:rsidR="00AF6745" w:rsidRDefault="00F87AC8">
      <w:pPr>
        <w:spacing w:after="80" w:line="360" w:lineRule="auto"/>
        <w:ind w:left="440" w:hanging="440"/>
      </w:pPr>
      <w:r>
        <w:rPr>
          <w:rFonts w:cs="Times New Roman"/>
        </w:rPr>
        <w:t>34. Djureinovic D, Hallström BM, Horie M, Mattsson JSM, La Fleur L, Fagerberg L, et al. Profiling cancer testis antigens in non-small-cell lung cancer. JCI Insight. 2016;1(10):e86837. doi:10.1172/jci.insight.86837</w:t>
      </w:r>
    </w:p>
    <w:p w14:paraId="5AC2BE41" w14:textId="77777777" w:rsidR="00AF6745" w:rsidRDefault="00F87AC8">
      <w:pPr>
        <w:spacing w:after="80" w:line="360" w:lineRule="auto"/>
        <w:ind w:left="440" w:hanging="440"/>
      </w:pPr>
      <w:r>
        <w:rPr>
          <w:rFonts w:cs="Times New Roman"/>
        </w:rPr>
        <w:t>35. Schabath MB, Welsh EA, Fulp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rPr>
          <w:rFonts w:cs="Times New Roman"/>
        </w:rPr>
        <w:t>36. Colaprico A, Silva TC, Olsen C, Garofano L, Cava C, Garolini D, et al. TCGAbiolinks: an R/Bioconductor package for integrative analysis of TCGA data. Nucleic Acids Res. 2016;44(8):e71. doi:10.1093/nar/gkv1507</w:t>
      </w:r>
    </w:p>
    <w:p w14:paraId="1B28F771" w14:textId="77777777" w:rsidR="00AF6745" w:rsidRDefault="00F87AC8">
      <w:pPr>
        <w:spacing w:after="80" w:line="360" w:lineRule="auto"/>
        <w:ind w:left="440" w:hanging="440"/>
      </w:pPr>
      <w:r>
        <w:rPr>
          <w:rFonts w:cs="Times New Roman"/>
        </w:rPr>
        <w:t>37. Irizarry RA, Hobbs B, Collin F, Beazer-Barclay YD, Antonellis KJ, Scherf U, et al. Exploration, normalization, and summaries of high density oligonucleotide array probe level data. Biostatistics. 2003;4(2):249-64. doi:10.1093/biostatistics/4.2.249</w:t>
      </w:r>
    </w:p>
    <w:p w14:paraId="0DA95B6F" w14:textId="77777777" w:rsidR="00AF6745" w:rsidRDefault="00F87AC8">
      <w:pPr>
        <w:spacing w:after="80" w:line="360" w:lineRule="auto"/>
        <w:ind w:left="440" w:hanging="440"/>
      </w:pPr>
      <w:r>
        <w:rPr>
          <w:rFonts w:cs="Times New Roman"/>
        </w:rPr>
        <w:t>38. Davis S, Meltzer PS. GEOquery: a bridge between the Gene Expression Omnibus (GEO) and BioConductor. Bioinformatics. 2007;23(14):1846-7. doi:10.1093/bioinformatics/btm254</w:t>
      </w:r>
    </w:p>
    <w:p w14:paraId="35255956" w14:textId="77777777" w:rsidR="00AF6745" w:rsidRDefault="00F87AC8">
      <w:pPr>
        <w:spacing w:after="80" w:line="360" w:lineRule="auto"/>
        <w:ind w:left="440" w:hanging="440"/>
      </w:pPr>
      <w:r>
        <w:rPr>
          <w:rFonts w:cs="Times New Roman"/>
        </w:rPr>
        <w:t>39. Harrell FE, Lee KL, Mark DB. Multivariable prognostic models: issues in developing models, evaluating assumptions and adequacy, and measuring and reducing errors. Stat Med. 1996;15(4):361-87. doi:10.1002/(SICI)1097-0258(19960229)15:4&lt;361::AID-SIM168&gt;3.0.CO;2-4</w:t>
      </w:r>
    </w:p>
    <w:p w14:paraId="74E111EE" w14:textId="77777777" w:rsidR="00AF6745" w:rsidRDefault="00F87AC8">
      <w:pPr>
        <w:spacing w:after="80" w:line="360" w:lineRule="auto"/>
        <w:ind w:left="440" w:hanging="440"/>
      </w:pPr>
      <w:r>
        <w:rPr>
          <w:rFonts w:cs="Times New Roman"/>
        </w:rPr>
        <w:t>40. Holm S. A simple sequentially rejective multiple test procedure. Scand J Stat. 1979;6(2):65-70.</w:t>
      </w:r>
    </w:p>
    <w:p w14:paraId="7979C18E" w14:textId="77777777" w:rsidR="00AF6745" w:rsidRDefault="00F87AC8">
      <w:pPr>
        <w:spacing w:after="80" w:line="360" w:lineRule="auto"/>
        <w:ind w:left="440" w:hanging="440"/>
      </w:pPr>
      <w:r>
        <w:rPr>
          <w:rFonts w:cs="Times New Roman"/>
        </w:rPr>
        <w:t>41. Uno H, Cai T, Pencina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rPr>
          <w:rFonts w:cs="Times New Roman"/>
        </w:rPr>
        <w:lastRenderedPageBreak/>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rPr>
          <w:rFonts w:cs="Times New Roman"/>
        </w:rPr>
        <w:t>43. Royston P, Parmar MK. Restricted mean survival time: an alternative to the hazard ratio for the design and analysis of randomized trials with a time-to-event outcome. BMC Med Res Methodol. 2013;13:152. doi:10.1186/1471-2288-13-152</w:t>
      </w:r>
    </w:p>
    <w:p w14:paraId="523BB5F9" w14:textId="77777777" w:rsidR="00AF6745" w:rsidRDefault="00F87AC8">
      <w:pPr>
        <w:spacing w:after="80" w:line="360" w:lineRule="auto"/>
        <w:ind w:left="440" w:hanging="440"/>
      </w:pPr>
      <w:r>
        <w:rPr>
          <w:rFonts w:cs="Times New Roman"/>
        </w:rPr>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rPr>
          <w:rFonts w:cs="Times New Roman"/>
        </w:rPr>
        <w:t>45. IntHout J, Ioannidis JP, Borm GF. The Hartung-Knapp-Sidik-Jonkman method for random effects meta-analysis is straightforward and considerably outperforms the standard DerSimonian-Laird method. BMC Med Res Methodol. 2014;14:25. doi:10.1186/1471-2288-14-25</w:t>
      </w:r>
    </w:p>
    <w:p w14:paraId="228AAC31" w14:textId="77777777" w:rsidR="00AF6745" w:rsidRDefault="00F87AC8">
      <w:pPr>
        <w:spacing w:after="80" w:line="360" w:lineRule="auto"/>
        <w:ind w:left="440" w:hanging="440"/>
      </w:pPr>
      <w:r>
        <w:rPr>
          <w:rFonts w:cs="Times New Roman"/>
        </w:rPr>
        <w:t>46. Viechtbauer W. Conducting meta-analyses in R with the metafor package. J Stat Softw. 2010;36(3):1-48. doi:10.18637/jss.v036.i03</w:t>
      </w:r>
    </w:p>
    <w:p w14:paraId="3CFCA1A7" w14:textId="77777777" w:rsidR="00AF6745" w:rsidRDefault="00F87AC8">
      <w:pPr>
        <w:spacing w:after="80" w:line="360" w:lineRule="auto"/>
        <w:ind w:left="440" w:hanging="440"/>
      </w:pPr>
      <w:r>
        <w:rPr>
          <w:rFonts w:cs="Times New Roman"/>
        </w:rPr>
        <w:t>47. Röver C, Knapp G, Friede T. Hartung-Knapp-Sidik-Jonkman approach and its modification for random-effects meta-analysis with few studies. BMC Med Res Methodol. 2015;15:99. doi:10.1186/s12874-015-0091-1</w:t>
      </w:r>
    </w:p>
    <w:p w14:paraId="42D252F1" w14:textId="77777777" w:rsidR="00AF6745" w:rsidRDefault="00F87AC8">
      <w:pPr>
        <w:spacing w:after="80" w:line="360" w:lineRule="auto"/>
        <w:ind w:left="440" w:hanging="440"/>
      </w:pPr>
      <w:r>
        <w:rPr>
          <w:rFonts w:cs="Times New Roman"/>
        </w:rP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rPr>
          <w:rFonts w:cs="Times New Roman"/>
        </w:rPr>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rPr>
          <w:rFonts w:cs="Times New Roman"/>
        </w:rPr>
        <w:t>50. Therneau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rFonts w:cs="Times New Roman"/>
          <w:b/>
          <w:bCs/>
        </w:rPr>
        <w:t>Figure 1.</w:t>
      </w:r>
      <w:r>
        <w:rPr>
          <w:rFonts w:cs="Times New Roman"/>
        </w:rP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rFonts w:cs="Times New Roman"/>
          <w:b/>
          <w:bCs/>
        </w:rPr>
        <w:t>Figure 2.</w:t>
      </w:r>
      <w:r>
        <w:rPr>
          <w:rFonts w:cs="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rFonts w:cs="Times New Roman"/>
          <w:b/>
          <w:bCs/>
        </w:rPr>
        <w:t>Figure 3.</w:t>
      </w:r>
      <w:r>
        <w:rPr>
          <w:rFonts w:cs="Times New Roman"/>
        </w:rP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rFonts w:cs="Times New Roman"/>
          <w:b/>
          <w:bCs/>
        </w:rPr>
        <w:t>Figure 4.</w:t>
      </w:r>
      <w:r>
        <w:rPr>
          <w:rFonts w:cs="Times New Roman"/>
        </w:rP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rFonts w:cs="Times New Roman"/>
          <w:b/>
          <w:bCs/>
        </w:rPr>
        <w:t>Figure 5.</w:t>
      </w:r>
      <w:r>
        <w:rPr>
          <w:rFonts w:cs="Times New Roman"/>
        </w:rP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rFonts w:cs="Times New Roman"/>
          <w:b/>
          <w:bCs/>
        </w:rPr>
        <w:t>Figure 6.</w:t>
      </w:r>
      <w:r>
        <w:rPr>
          <w:rFonts w:cs="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rFonts w:cs="Times New Roman"/>
          <w:b/>
          <w:bCs/>
        </w:rPr>
        <w:lastRenderedPageBreak/>
        <w:t>Supplementary Figure S1.</w:t>
      </w:r>
      <w:r>
        <w:rPr>
          <w:rFonts w:cs="Times New Roman"/>
        </w:rP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rFonts w:cs="Times New Roman"/>
          <w:b/>
          <w:bCs/>
        </w:rPr>
        <w:t>Supplementary Figure S2.</w:t>
      </w:r>
      <w:r>
        <w:rPr>
          <w:rFonts w:cs="Times New Roman"/>
        </w:rP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rPr>
          <w:rFonts w:cs="Times New Roman"/>
        </w:rP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rPr>
          <w:rFonts w:cs="Times New Roman"/>
        </w:rP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14"/>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rFonts w:cs="Times New Roman"/>
          <w:b/>
          <w:bCs/>
        </w:rPr>
        <w:lastRenderedPageBreak/>
        <w:t>Table 1.</w:t>
      </w:r>
      <w:r>
        <w:rPr>
          <w:rFonts w:cs="Times New Roman"/>
        </w:rP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rFonts w:cs="Times New Roman"/>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rFonts w:cs="Times New Roman"/>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rFonts w:cs="Times New Roman"/>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rFonts w:cs="Times New Roman"/>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rFonts w:cs="Times New Roman"/>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rFonts w:cs="Times New Roman"/>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rFonts w:cs="Times New Roman"/>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rFonts w:cs="Times New Roman"/>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r>
              <w:rPr>
                <w:rFonts w:cs="Times New Roman"/>
                <w:sz w:val="17"/>
                <w:szCs w:val="17"/>
              </w:rPr>
              <w:t>Diao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rFonts w:cs="Times New Roman"/>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rFonts w:cs="Times New Roman"/>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r>
              <w:rPr>
                <w:rFonts w:cs="Times New Roman"/>
                <w:sz w:val="17"/>
                <w:szCs w:val="17"/>
              </w:rPr>
              <w:t>Geng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rFonts w:cs="Times New Roman"/>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rFonts w:cs="Times New Roman"/>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rFonts w:cs="Times New Roman"/>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rFonts w:cs="Times New Roman"/>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rFonts w:cs="Times New Roman"/>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rFonts w:cs="Times New Roman"/>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rFonts w:cs="Times New Roman"/>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rFonts w:cs="Times New Roman"/>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r>
              <w:rPr>
                <w:rFonts w:cs="Times New Roman"/>
                <w:sz w:val="17"/>
                <w:szCs w:val="17"/>
              </w:rPr>
              <w:t>Jin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rFonts w:cs="Times New Roman"/>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rFonts w:cs="Times New Roman"/>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rFonts w:cs="Times New Roman"/>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rFonts w:cs="Times New Roman"/>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rFonts w:cs="Times New Roman"/>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rFonts w:cs="Times New Roman"/>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rFonts w:cs="Times New Roman"/>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r>
              <w:rPr>
                <w:rFonts w:cs="Times New Roman"/>
                <w:sz w:val="17"/>
                <w:szCs w:val="17"/>
              </w:rPr>
              <w:t>HTSeq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rFonts w:cs="Times New Roman"/>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rFonts w:cs="Times New Roman"/>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rFonts w:cs="Times New Roman"/>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rFonts w:cs="Times New Roman"/>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rFonts w:cs="Times New Roman"/>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rFonts w:cs="Times New Roman"/>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rFonts w:cs="Times New Roman"/>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rFonts w:cs="Times New Roman"/>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rFonts w:cs="Times New Roman"/>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rFonts w:cs="Times New Roman"/>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rFonts w:cs="Times New Roman"/>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rFonts w:cs="Times New Roman"/>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rFonts w:cs="Times New Roman"/>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rFonts w:cs="Times New Roman"/>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rFonts w:cs="Times New Roman"/>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rFonts w:cs="Times New Roman"/>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rFonts w:cs="Times New Roman"/>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rFonts w:cs="Times New Roman"/>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rFonts w:cs="Times New Roman"/>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rFonts w:cs="Times New Roman"/>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rFonts w:cs="Times New Roman"/>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rFonts w:cs="Times New Roman"/>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rFonts w:cs="Times New Roman"/>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rFonts w:cs="Times New Roman"/>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rFonts w:cs="Times New Roman"/>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rFonts w:cs="Times New Roman"/>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rFonts w:cs="Times New Roman"/>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rFonts w:cs="Times New Roman"/>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rFonts w:cs="Times New Roman"/>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rFonts w:cs="Times New Roman"/>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rFonts w:cs="Times New Roman"/>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rFonts w:cs="Times New Roman"/>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rFonts w:cs="Times New Roman"/>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rFonts w:cs="Times New Roman"/>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rFonts w:cs="Times New Roman"/>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rFonts w:cs="Times New Roman"/>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rFonts w:cs="Times New Roman"/>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rFonts w:cs="Times New Roman"/>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rFonts w:cs="Times New Roman"/>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rFonts w:cs="Times New Roman"/>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rFonts w:cs="Times New Roman"/>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rFonts w:cs="Times New Roman"/>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rFonts w:cs="Times New Roman"/>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rFonts w:cs="Times New Roman"/>
                <w:sz w:val="17"/>
                <w:szCs w:val="17"/>
              </w:rPr>
              <w:t>CPTAC-3, GSE81089</w:t>
            </w:r>
          </w:p>
        </w:tc>
      </w:tr>
    </w:tbl>
    <w:p w14:paraId="6C1AEF42" w14:textId="77777777" w:rsidR="00AF6745" w:rsidRDefault="00F87AC8">
      <w:pPr>
        <w:spacing w:before="120"/>
      </w:pPr>
      <w:r>
        <w:rPr>
          <w:rFonts w:cs="Times New Roman"/>
          <w:sz w:val="17"/>
          <w:szCs w:val="17"/>
        </w:rPr>
        <w:t>Risk coefficients &gt; 0, protective &lt; 0. Gene-name release: the GENCODE release whose gene names the paper follows, used to map names to Ensembl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rFonts w:cs="Times New Roman"/>
          <w:b/>
          <w:bCs/>
        </w:rPr>
        <w:lastRenderedPageBreak/>
        <w:t>Table 2.</w:t>
      </w:r>
      <w:r>
        <w:rPr>
          <w:rFonts w:cs="Times New Roman"/>
        </w:rP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rFonts w:cs="Times New Roman"/>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rFonts w:cs="Times New Roman"/>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rFonts w:cs="Times New Roman"/>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rFonts w:cs="Times New Roman"/>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rFonts w:cs="Times New Roman"/>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rFonts w:cs="Times New Roman"/>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rFonts w:cs="Times New Roman"/>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rFonts w:cs="Times New Roman"/>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rFonts w:cs="Times New Roman"/>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rFonts w:cs="Times New Roman"/>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rFonts w:cs="Times New Roman"/>
                <w:b/>
                <w:bCs/>
                <w:sz w:val="17"/>
                <w:szCs w:val="17"/>
              </w:rPr>
              <w:t>Signatures with ≥ 80% (100%) of genes; independent pairs</w:t>
            </w:r>
          </w:p>
        </w:tc>
      </w:tr>
      <w:tr w:rsidR="005264A0" w14:paraId="1CDC5E87"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rFonts w:cs="Times New Roman"/>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rFonts w:cs="Times New Roman"/>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rFonts w:cs="Times New Roman"/>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rFonts w:cs="Times New Roman"/>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rFonts w:cs="Times New Roman"/>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rFonts w:cs="Times New Roman"/>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rFonts w:cs="Times New Roman"/>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rFonts w:cs="Times New Roman"/>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rFonts w:cs="Times New Roman"/>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rFonts w:cs="Times New Roman"/>
                <w:sz w:val="17"/>
                <w:szCs w:val="17"/>
              </w:rPr>
              <w:t>15 (14); 0</w:t>
            </w:r>
          </w:p>
        </w:tc>
      </w:tr>
      <w:tr w:rsidR="005264A0" w14:paraId="7B0519D8"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rFonts w:cs="Times New Roman"/>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rFonts w:cs="Times New Roman"/>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rFonts w:cs="Times New Roman"/>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rFonts w:cs="Times New Roman"/>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rFonts w:cs="Times New Roman"/>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rFonts w:cs="Times New Roman"/>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rFonts w:cs="Times New Roman"/>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rFonts w:cs="Times New Roman"/>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rFonts w:cs="Times New Roman"/>
                <w:sz w:val="17"/>
                <w:szCs w:val="17"/>
              </w:rPr>
              <w:t>15 (14); 15</w:t>
            </w:r>
          </w:p>
        </w:tc>
      </w:tr>
      <w:tr w:rsidR="005264A0" w14:paraId="4A6E8AE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rFonts w:cs="Times New Roman"/>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rFonts w:cs="Times New Roman"/>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rFonts w:cs="Times New Roman"/>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rFonts w:cs="Times New Roman"/>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rFonts w:cs="Times New Roman"/>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rFonts w:cs="Times New Roman"/>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rFonts w:cs="Times New Roman"/>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rFonts w:cs="Times New Roman"/>
                <w:sz w:val="17"/>
                <w:szCs w:val="17"/>
              </w:rPr>
              <w:t>2 (1); 1</w:t>
            </w:r>
          </w:p>
        </w:tc>
      </w:tr>
      <w:tr w:rsidR="005264A0" w14:paraId="78C8F54C"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rFonts w:cs="Times New Roman"/>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rFonts w:cs="Times New Roman"/>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rFonts w:cs="Times New Roman"/>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rFonts w:cs="Times New Roman"/>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rFonts w:cs="Times New Roman"/>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rFonts w:cs="Times New Roman"/>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rFonts w:cs="Times New Roman"/>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rFonts w:cs="Times New Roman"/>
                <w:sz w:val="17"/>
                <w:szCs w:val="17"/>
              </w:rPr>
              <w:t>2 (1); 1</w:t>
            </w:r>
          </w:p>
        </w:tc>
      </w:tr>
      <w:tr w:rsidR="005264A0" w14:paraId="7460EFA3"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rFonts w:cs="Times New Roman"/>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rFonts w:cs="Times New Roman"/>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rFonts w:cs="Times New Roman"/>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rFonts w:cs="Times New Roman"/>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rFonts w:cs="Times New Roman"/>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rFonts w:cs="Times New Roman"/>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rFonts w:cs="Times New Roman"/>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rFonts w:cs="Times New Roman"/>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rFonts w:cs="Times New Roman"/>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rFonts w:cs="Times New Roman"/>
                <w:sz w:val="17"/>
                <w:szCs w:val="17"/>
              </w:rPr>
              <w:t>2 (1); 1</w:t>
            </w:r>
          </w:p>
        </w:tc>
      </w:tr>
      <w:tr w:rsidR="005264A0" w14:paraId="56C286F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rFonts w:cs="Times New Roman"/>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rFonts w:cs="Times New Roman"/>
                <w:sz w:val="17"/>
                <w:szCs w:val="17"/>
              </w:rPr>
              <w:t>RNA-seq, poly(A) (Cufflinks FPKM, Ensembl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rFonts w:cs="Times New Roman"/>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rFonts w:cs="Times New Roman"/>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rFonts w:cs="Times New Roman"/>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rFonts w:cs="Times New Roman"/>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rFonts w:cs="Times New Roman"/>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rFonts w:cs="Times New Roman"/>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rFonts w:cs="Times New Roman"/>
                <w:sz w:val="17"/>
                <w:szCs w:val="17"/>
              </w:rPr>
              <w:t>8 (6); 8</w:t>
            </w:r>
          </w:p>
        </w:tc>
      </w:tr>
      <w:tr w:rsidR="005264A0" w14:paraId="5D6692E6"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rFonts w:cs="Times New Roman"/>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rFonts w:cs="Times New Roman"/>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rFonts w:cs="Times New Roman"/>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rFonts w:cs="Times New Roman"/>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rFonts w:cs="Times New Roman"/>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rFonts w:cs="Times New Roman"/>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rFonts w:cs="Times New Roman"/>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rFonts w:cs="Times New Roman"/>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rFonts w:cs="Times New Roman"/>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rFonts w:cs="Times New Roman"/>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rFonts w:cs="Times New Roman"/>
                <w:sz w:val="17"/>
                <w:szCs w:val="17"/>
              </w:rPr>
              <w:t>0 (0); 0</w:t>
            </w:r>
          </w:p>
        </w:tc>
      </w:tr>
    </w:tbl>
    <w:p w14:paraId="395635BF" w14:textId="60D9E3AB" w:rsidR="00AF6745" w:rsidRDefault="005264A0">
      <w:r>
        <w:rPr>
          <w:rFonts w:cs="Times New Roman"/>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rFonts w:cs="Times New Roman"/>
          <w:b/>
          <w:bCs/>
        </w:rPr>
        <w:lastRenderedPageBreak/>
        <w:t>Table 3.</w:t>
      </w:r>
      <w:r>
        <w:rPr>
          <w:rFonts w:cs="Times New Roman"/>
        </w:rP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rFonts w:cs="Times New Roman"/>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rFonts w:cs="Times New Roman"/>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r>
              <w:rPr>
                <w:rFonts w:cs="Times New Roman"/>
                <w:b/>
                <w:bCs/>
                <w:sz w:val="17"/>
                <w:szCs w:val="17"/>
              </w:rPr>
              <w:t>Genes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rFonts w:cs="Times New Roman"/>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rFonts w:cs="Times New Roman"/>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rFonts w:cs="Times New Roman"/>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rFonts w:cs="Times New Roman"/>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rFonts w:cs="Times New Roman"/>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rFonts w:cs="Times New Roman"/>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rFonts w:cs="Times New Roman"/>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rFonts w:cs="Times New Roman"/>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r>
              <w:rPr>
                <w:rFonts w:cs="Times New Roman"/>
                <w:sz w:val="17"/>
                <w:szCs w:val="17"/>
              </w:rPr>
              <w:t>Diao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rFonts w:cs="Times New Roman"/>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rFonts w:cs="Times New Roman"/>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rFonts w:cs="Times New Roman"/>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rFonts w:cs="Times New Roman"/>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rFonts w:cs="Times New Roman"/>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rFonts w:cs="Times New Roman"/>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r>
              <w:rPr>
                <w:rFonts w:cs="Times New Roman"/>
                <w:sz w:val="17"/>
                <w:szCs w:val="17"/>
              </w:rPr>
              <w:t>Geng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rFonts w:cs="Times New Roman"/>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rFonts w:cs="Times New Roman"/>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rFonts w:cs="Times New Roman"/>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rFonts w:cs="Times New Roman"/>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rFonts w:cs="Times New Roman"/>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rFonts w:cs="Times New Roman"/>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rFonts w:cs="Times New Roman"/>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rFonts w:cs="Times New Roman"/>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rFonts w:cs="Times New Roman"/>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rFonts w:cs="Times New Roman"/>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r>
              <w:rPr>
                <w:rFonts w:cs="Times New Roman"/>
                <w:sz w:val="17"/>
                <w:szCs w:val="17"/>
              </w:rPr>
              <w:t>Jin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rFonts w:cs="Times New Roman"/>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rFonts w:cs="Times New Roman"/>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rFonts w:cs="Times New Roman"/>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rFonts w:cs="Times New Roman"/>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rFonts w:cs="Times New Roman"/>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rFonts w:cs="Times New Roman"/>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rFonts w:cs="Times New Roman"/>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rFonts w:cs="Times New Roman"/>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rFonts w:cs="Times New Roman"/>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rFonts w:cs="Times New Roman"/>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rFonts w:cs="Times New Roman"/>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rFonts w:cs="Times New Roman"/>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rFonts w:cs="Times New Roman"/>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rFonts w:cs="Times New Roman"/>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rFonts w:cs="Times New Roman"/>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rFonts w:cs="Times New Roman"/>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rFonts w:cs="Times New Roman"/>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rFonts w:cs="Times New Roman"/>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rFonts w:cs="Times New Roman"/>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rFonts w:cs="Times New Roman"/>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rFonts w:cs="Times New Roman"/>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rFonts w:cs="Times New Roman"/>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rFonts w:cs="Times New Roman"/>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rFonts w:cs="Times New Roman"/>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rFonts w:cs="Times New Roman"/>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rFonts w:cs="Times New Roman"/>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rFonts w:cs="Times New Roman"/>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rFonts w:cs="Times New Roman"/>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rFonts w:cs="Times New Roman"/>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rFonts w:cs="Times New Roman"/>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rFonts w:cs="Times New Roman"/>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rFonts w:cs="Times New Roman"/>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rFonts w:cs="Times New Roman"/>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rFonts w:cs="Times New Roman"/>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rFonts w:cs="Times New Roman"/>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rFonts w:cs="Times New Roman"/>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rFonts w:cs="Times New Roman"/>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rFonts w:cs="Times New Roman"/>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rFonts w:cs="Times New Roman"/>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rFonts w:cs="Times New Roman"/>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rFonts w:cs="Times New Roman"/>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rFonts w:cs="Times New Roman"/>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rFonts w:cs="Times New Roman"/>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rFonts w:cs="Times New Roman"/>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rFonts w:cs="Times New Roman"/>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rFonts w:cs="Times New Roman"/>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rFonts w:cs="Times New Roman"/>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rFonts w:cs="Times New Roman"/>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rFonts w:cs="Times New Roman"/>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rFonts w:cs="Times New Roman"/>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rFonts w:cs="Times New Roman"/>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rFonts w:cs="Times New Roman"/>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rFonts w:cs="Times New Roman"/>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rFonts w:cs="Times New Roman"/>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rFonts w:cs="Times New Roman"/>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rFonts w:cs="Times New Roman"/>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rFonts w:cs="Times New Roman"/>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rFonts w:cs="Times New Roman"/>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rFonts w:cs="Times New Roman"/>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rFonts w:cs="Times New Roman"/>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rFonts w:cs="Times New Roman"/>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rFonts w:cs="Times New Roman"/>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rFonts w:cs="Times New Roman"/>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rFonts w:cs="Times New Roman"/>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rFonts w:cs="Times New Roman"/>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rFonts w:cs="Times New Roman"/>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rFonts w:cs="Times New Roman"/>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rFonts w:cs="Times New Roman"/>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rFonts w:cs="Times New Roman"/>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rFonts w:cs="Times New Roman"/>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rFonts w:cs="Times New Roman"/>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rFonts w:cs="Times New Roman"/>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rFonts w:cs="Times New Roman"/>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rFonts w:cs="Times New Roman"/>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rFonts w:cs="Times New Roman"/>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rFonts w:cs="Times New Roman"/>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rFonts w:cs="Times New Roman"/>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rFonts w:cs="Times New Roman"/>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rFonts w:cs="Times New Roman"/>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rFonts w:cs="Times New Roman"/>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rFonts w:cs="Times New Roman"/>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rFonts w:cs="Times New Roman"/>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rFonts w:cs="Times New Roman"/>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rFonts w:cs="Times New Roman"/>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rFonts w:cs="Times New Roman"/>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rFonts w:cs="Times New Roman"/>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rFonts w:cs="Times New Roman"/>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rFonts w:cs="Times New Roman"/>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rFonts w:cs="Times New Roman"/>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rFonts w:cs="Times New Roman"/>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rFonts w:cs="Times New Roman"/>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rFonts w:cs="Times New Roman"/>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rFonts w:cs="Times New Roman"/>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rFonts w:cs="Times New Roman"/>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rFonts w:cs="Times New Roman"/>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rFonts w:cs="Times New Roman"/>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rFonts w:cs="Times New Roman"/>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rFonts w:cs="Times New Roman"/>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rFonts w:cs="Times New Roman"/>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rFonts w:cs="Times New Roman"/>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rFonts w:cs="Times New Roman"/>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rFonts w:cs="Times New Roman"/>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rFonts w:cs="Times New Roman"/>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rFonts w:cs="Times New Roman"/>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rFonts w:cs="Times New Roman"/>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rFonts w:cs="Times New Roman"/>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rFonts w:cs="Times New Roman"/>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rFonts w:cs="Times New Roman"/>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rFonts w:cs="Times New Roman"/>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rFonts w:cs="Times New Roman"/>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rFonts w:cs="Times New Roman"/>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rFonts w:cs="Times New Roman"/>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rFonts w:cs="Times New Roman"/>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rFonts w:cs="Times New Roman"/>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rFonts w:cs="Times New Roman"/>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rFonts w:cs="Times New Roman"/>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rFonts w:cs="Times New Roman"/>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rFonts w:cs="Times New Roman"/>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rFonts w:cs="Times New Roman"/>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rFonts w:cs="Times New Roman"/>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rFonts w:cs="Times New Roman"/>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rFonts w:cs="Times New Roman"/>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rFonts w:cs="Times New Roman"/>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rFonts w:cs="Times New Roman"/>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rFonts w:cs="Times New Roman"/>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rFonts w:cs="Times New Roman"/>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rFonts w:cs="Times New Roman"/>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rFonts w:cs="Times New Roman"/>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rFonts w:cs="Times New Roman"/>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rFonts w:cs="Times New Roman"/>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rFonts w:cs="Times New Roman"/>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rFonts w:cs="Times New Roman"/>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rFonts w:cs="Times New Roman"/>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rFonts w:cs="Times New Roman"/>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rFonts w:cs="Times New Roman"/>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rFonts w:cs="Times New Roman"/>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rFonts w:cs="Times New Roman"/>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rFonts w:cs="Times New Roman"/>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rFonts w:cs="Times New Roman"/>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rFonts w:cs="Times New Roman"/>
                <w:sz w:val="17"/>
                <w:szCs w:val="17"/>
              </w:rPr>
              <w:t>1.00</w:t>
            </w:r>
          </w:p>
        </w:tc>
      </w:tr>
    </w:tbl>
    <w:p w14:paraId="2642BA51" w14:textId="77777777" w:rsidR="00AF6745" w:rsidRDefault="00F87AC8">
      <w:pPr>
        <w:spacing w:before="120"/>
      </w:pPr>
      <w:r>
        <w:rPr>
          <w:rFonts w:cs="Times New Roman"/>
          <w:sz w:val="17"/>
          <w:szCs w:val="17"/>
        </w:rPr>
        <w:t>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rFonts w:cs="Times New Roman"/>
          <w:b/>
          <w:bCs/>
        </w:rPr>
        <w:lastRenderedPageBreak/>
        <w:t>Table 4.</w:t>
      </w:r>
      <w:r>
        <w:rPr>
          <w:rFonts w:cs="Times New Roman"/>
        </w:rP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rFonts w:cs="Times New Roman"/>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rFonts w:cs="Times New Roman"/>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rFonts w:cs="Times New Roman"/>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rFonts w:cs="Times New Roman"/>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rFonts w:cs="Times New Roman"/>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rFonts w:cs="Times New Roman"/>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rFonts w:cs="Times New Roman"/>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rFonts w:cs="Times New Roman"/>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rFonts w:cs="Times New Roman"/>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rFonts w:cs="Times New Roman"/>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rFonts w:cs="Times New Roman"/>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rFonts w:cs="Times New Roman"/>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rFonts w:cs="Times New Roman"/>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rFonts w:cs="Times New Roman"/>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rFonts w:cs="Times New Roman"/>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rFonts w:cs="Times New Roman"/>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rFonts w:cs="Times New Roman"/>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rFonts w:cs="Times New Roman"/>
                <w:sz w:val="17"/>
                <w:szCs w:val="17"/>
              </w:rPr>
              <w:t>Yao 2021 pooled: modified Hartung-Knapp (q* = max(1,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rFonts w:cs="Times New Roman"/>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rFonts w:cs="Times New Roman"/>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rFonts w:cs="Times New Roman"/>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rFonts w:cs="Times New Roman"/>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rFonts w:cs="Times New Roman"/>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rFonts w:cs="Times New Roman"/>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rFonts w:cs="Times New Roman"/>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rFonts w:cs="Times New Roman"/>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rFonts w:cs="Times New Roman"/>
          <w:b/>
          <w:bCs/>
        </w:rPr>
        <w:lastRenderedPageBreak/>
        <w:t>Table 5.</w:t>
      </w:r>
      <w:r>
        <w:rPr>
          <w:rFonts w:cs="Times New Roman"/>
        </w:rP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rFonts w:cs="Times New Roman"/>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rFonts w:cs="Times New Roman"/>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rFonts w:cs="Times New Roman"/>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rFonts w:cs="Times New Roman"/>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rFonts w:cs="Times New Roman"/>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rFonts w:cs="Times New Roman"/>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rFonts w:cs="Times New Roman"/>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rFonts w:cs="Times New Roman"/>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rFonts w:cs="Times New Roman"/>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rFonts w:cs="Times New Roman"/>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rFonts w:cs="Times New Roman"/>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rFonts w:cs="Times New Roman"/>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rFonts w:cs="Times New Roman"/>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rFonts w:cs="Times New Roman"/>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rFonts w:cs="Times New Roman"/>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rFonts w:cs="Times New Roman"/>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rFonts w:cs="Times New Roman"/>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rFonts w:cs="Times New Roman"/>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rFonts w:cs="Times New Roman"/>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rFonts w:cs="Times New Roman"/>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rFonts w:cs="Times New Roman"/>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rFonts w:cs="Times New Roman"/>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rFonts w:cs="Times New Roman"/>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rFonts w:cs="Times New Roman"/>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rFonts w:cs="Times New Roman"/>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rFonts w:cs="Times New Roman"/>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rFonts w:cs="Times New Roman"/>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rFonts w:cs="Times New Roman"/>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rFonts w:cs="Times New Roman"/>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rFonts w:cs="Times New Roman"/>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rFonts w:cs="Times New Roman"/>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rFonts w:cs="Times New Roman"/>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rFonts w:cs="Times New Roman"/>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rFonts w:cs="Times New Roman"/>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rFonts w:cs="Times New Roman"/>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rFonts w:cs="Times New Roman"/>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rFonts w:cs="Times New Roman"/>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rFonts w:cs="Times New Roman"/>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rFonts w:cs="Times New Roman"/>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rFonts w:cs="Times New Roman"/>
                <w:sz w:val="17"/>
                <w:szCs w:val="17"/>
              </w:rPr>
              <w:t>–</w:t>
            </w:r>
          </w:p>
        </w:tc>
      </w:tr>
    </w:tbl>
    <w:p w14:paraId="3E821AC4" w14:textId="77777777" w:rsidR="00AF6745" w:rsidRDefault="00F87AC8">
      <w:pPr>
        <w:spacing w:before="120"/>
      </w:pPr>
      <w:r>
        <w:rPr>
          <w:rFonts w:cs="Times New Roman"/>
          <w:sz w:val="17"/>
          <w:szCs w:val="17"/>
        </w:rPr>
        <w:t>Primary transportability analysis with 2,000 bootstrap resamples (Table 4); sensitivity settings with 1,000. Measurable genes were recomputed in every setting.</w:t>
      </w:r>
    </w:p>
    <w:sectPr w:rsidR="00AF6745">
      <w:footerReference w:type="default" r:id="rId15"/>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F6CC" w14:textId="77777777" w:rsidR="00920227" w:rsidRDefault="00920227">
      <w:r>
        <w:separator/>
      </w:r>
    </w:p>
  </w:endnote>
  <w:endnote w:type="continuationSeparator" w:id="0">
    <w:p w14:paraId="04287F45" w14:textId="77777777" w:rsidR="00920227" w:rsidRDefault="00920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1</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31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77253" w14:textId="77777777" w:rsidR="00920227" w:rsidRDefault="00920227">
      <w:r>
        <w:separator/>
      </w:r>
    </w:p>
  </w:footnote>
  <w:footnote w:type="continuationSeparator" w:id="0">
    <w:p w14:paraId="2F985C25" w14:textId="77777777" w:rsidR="00920227" w:rsidRDefault="00920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300A1F"/>
    <w:rsid w:val="00353EB0"/>
    <w:rsid w:val="003B52E0"/>
    <w:rsid w:val="005264A0"/>
    <w:rsid w:val="00920227"/>
    <w:rsid w:val="00AA3977"/>
    <w:rsid w:val="00AF6745"/>
    <w:rsid w:val="00B03974"/>
    <w:rsid w:val="00D40A75"/>
    <w:rsid w:val="00F87AC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zlma@shu.edu.c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8830</Words>
  <Characters>50337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Microsoft Office User</cp:lastModifiedBy>
  <cp:revision>5</cp:revision>
  <dcterms:created xsi:type="dcterms:W3CDTF">2026-10-24T12:55:00Z</dcterms:created>
  <dcterms:modified xsi:type="dcterms:W3CDTF">2026-10-24T14:35:00Z</dcterms:modified>
</cp:coreProperties>
</file>