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b/>
          <w:sz w:val="28"/>
        </w:rPr>
        <w:t>Highlights</w:t>
      </w:r>
    </w:p>
    <w:p>
      <w:pPr>
        <w:pStyle w:val="ListBullet"/>
        <w:spacing w:after="120"/>
      </w:pPr>
      <w:r>
        <w:t>Fifteen published LUAD lncRNA signatures were tested in six independent cohorts</w:t>
      </w:r>
    </w:p>
    <w:p>
      <w:pPr>
        <w:pStyle w:val="ListBullet"/>
        <w:spacing w:after="120"/>
      </w:pPr>
      <w:r>
        <w:t>No signature outperformed expression-matched random gene sets after correction</w:t>
      </w:r>
    </w:p>
    <w:p>
      <w:pPr>
        <w:pStyle w:val="ListBullet"/>
        <w:spacing w:after="120"/>
      </w:pPr>
      <w:r>
        <w:t>Scores pointed in the published direction in 23 of 25 independent observations</w:t>
      </w:r>
    </w:p>
    <w:p>
      <w:pPr>
        <w:pStyle w:val="ListBullet"/>
        <w:spacing w:after="120"/>
      </w:pPr>
      <w:r>
        <w:t>Public cohorts measure too few lncRNAs and record too few deaths for validation</w:t>
      </w:r>
    </w:p>
    <w:p>
      <w:pPr>
        <w:pStyle w:val="ListBullet"/>
        <w:spacing w:after="120"/>
      </w:pPr>
      <w:r>
        <w:t>Matching genes by Ensembl identifier avoids errors from reassigned lncRNA names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