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0"/>
          <w:szCs w:val="30"/>
        </w:rPr>
        <w:t xml:space="preserve">REMARK checklist</w:t>
      </w:r>
    </w:p>
    <w:p>
      <w:pPr>
        <w:spacing w:after="240"/>
      </w:pPr>
      <w:r>
        <w:rPr>
          <w:rFonts w:ascii="Times New Roman" w:cs="Times New Roman" w:eastAsia="Times New Roman" w:hAnsi="Times New Roman"/>
          <w:i/>
          <w:iCs/>
          <w:sz w:val="22"/>
          <w:szCs w:val="22"/>
        </w:rPr>
        <w:t xml:space="preserve">Published lncRNA prognostic signatures for lung adenocarcinoma share a modest transportable signal, but none is individually validated: a pre-registered benchmark</w:t>
      </w:r>
    </w:p>
    <w:p>
      <w:pPr>
        <w:spacing w:after="120" w:line="300"/>
      </w:pPr>
      <w:r>
        <w:rPr>
          <w:rFonts w:ascii="Times New Roman" w:cs="Times New Roman" w:eastAsia="Times New Roman" w:hAnsi="Times New Roman"/>
        </w:rPr>
        <w:t xml:space="preserve">Checklist items from McShane LM et al. REporting recommendations for tumour MARKer prognostic studies (REMARK). Br J Cancer 2005;93:387–91, as given in Altman DG et al. PLoS Med 2012;9:e1001216. Line numbers refer to the submitted manuscript (continuous line numbering).</w:t>
      </w:r>
    </w:p>
    <w:tbl>
      <w:tblPr>
        <w:tblW w:type="dxa" w:w="13870"/>
        <w:tblBorders>
          <w:top w:val="single" w:color="auto" w:sz="4"/>
          <w:left w:val="single" w:color="auto" w:sz="4"/>
          <w:bottom w:val="single" w:color="auto" w:sz="4"/>
          <w:right w:val="single" w:color="auto" w:sz="4"/>
          <w:insideH w:val="single" w:color="auto" w:sz="4"/>
          <w:insideV w:val="single" w:color="auto" w:sz="4"/>
        </w:tblBorders>
      </w:tblPr>
      <w:tblGrid>
        <w:gridCol w:w="1700"/>
        <w:gridCol w:w="560"/>
        <w:gridCol w:w="5600"/>
        <w:gridCol w:w="1650"/>
        <w:gridCol w:w="4360"/>
      </w:tblGrid>
      <w:tr>
        <w:trPr>
          <w:tblHeader/>
        </w:trPr>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Section</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56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Checklist item</w:t>
            </w:r>
          </w:p>
        </w:tc>
        <w:tc>
          <w:tcPr>
            <w:tcW w:type="dxa" w:w="16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Reported on line(s)</w:t>
            </w:r>
          </w:p>
        </w:tc>
        <w:tc>
          <w:tcPr>
            <w:tcW w:type="dxa" w:w="43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Comment</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Introduction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State the marker examined, the study objectives, and any pre-specified hypotheses.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67–73; 76–91</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Markers: 15 published lncRNA signatures (Table 1); hypotheses H1–H3 pre-registered.</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Materials and methods: patients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characteristics (for example, disease stage or co-morbidities) of the study patients, including their source and inclusion and exclusion criteria.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107–114; 256–260</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treatments received and how chosen (for example, randomized or rule-based).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221–222</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Treatment not recorded consistently in the public cohorts; GSE31210 sensitivity analysis.</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Specimen characteristics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type of biological material used (including control samples) and methods of preservation and storage.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109–112; 116–127</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Primary tumour tissue; preservation as described in the source studies (refs 2, 30–35).</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Assay 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assay method used and provide (or reference) a detailed protocol, including specific reagents or kits used, quality control procedures, reproducibility assessments, quantitation methods, and scoring and reporting protocols. Specify whether and how assays were performed blinded to the study endpoint.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116–127; 129–142; 152–155</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Platforms in Table 2. Assays were done by the source studies; scoring was automated and blind to outcome.</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Study design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State the method of case selection, including whether prospective or retrospective and whether stratification or matching (for example, by stage of disease or age) was used. Specify the time period from which cases were taken, the end of the follow-up period, and the median follow-up time.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76–91; 109–112</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Retrospective analysis of public cohorts; no matching. Median follow-up in Table 2; accrual periods in the source studies (refs 2, 30–35).</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Precisely define all clinical endpoints examined.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113</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Overall survival.</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List all candidate variables initially examined or considered for inclusion in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101–105; 172–176</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Published signature genes (Table 1, Supplementary Table S4); stage, sex and age.</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rationale for sample size; if the study was designed to detect a specified effect size, give the target power and effect size.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52–54; 201–206; 321–326</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Sizes fixed by the public cohorts; power at true C-index 0.60, 0.65 and 0.70 (Supplementary Table S9).</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Statistical analysis 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all statistical methods, including details of any variable selection procedures and other model-building issues, how model assumptions were verified, and how missing data were handled.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151–223</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Proportional hazards: lines 183–185; missing data: lines 175–176; no variable selection (published models).</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Clarify how marker values were handled in the analyses; if relevant, describe methods used for cutpoint determination.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152–155; 180–185</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Continuous standardised score; median split only for log-rank tests and Kaplan–Meier curves; no cutpoint optimisation.</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Results: data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flow of patients through the study, including the number of patients included in each stage of the analysis (a diagram may be helpful) and reasons for dropout. Specifically, both overall and for each subgroup extensively examined report the number of patients and the number of events.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256–260; 262–269</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Table 3 and Supplementary Tables S6–S8 (patients and deaths per pair); Figure 1 (signature selection).</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distributions of basic demographic characteristics (at least age and sex), standard (disease-specific) prognostic variables, and tumor marker, including numbers of missing values.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256–260</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(age, sex, stage with missing values).</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Analysis and presentation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14</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Show the relation of the marker to standard prognostic variables.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283–289</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Unadjusted and stage-, sex- and age-adjusted HRs per SD (Table 3; Supplementary Tables S7–S8).</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Present univariable analyses showing the relation between the marker and outcome, with the estimated effect (for example, hazard ratio and survival probability). Preferably provide similar analyses for all other variables being analyzed. For the effect of a tumor marker on a time-to-event outcome, a Kaplan-Meier plot is recommended.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291–300; 652–653</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HR per SD (Table 3, Figure 4, Supplementary Table S8); Kaplan–Meier curves (Supplementary Figure S2); stage (Supplementary Table S1).</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 key multivariable analyses, report estimated effects (for example, hazard ratio) with confidence intervals for the marker and, at least for the final model, all other variables in the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283–289</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Adjusted HR per SD with 95% CI (Supplementary Table S7); stage HRs in Supplementary Table S1.</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17</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Among reported results, provide estimated effects with confidence intervals from an analysis in which the marker and standard prognostic variables are included, regardless of their statistical significance.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283–289</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All 26 pairs reported (Table 3; Supplementary Table S7).</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done, report results of further investigations, such as checking assumptions, sensitivity analyses, and internal validation.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278–281; 314–318</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Proportional hazards (lines 298); Table 5; Supplementary Tables S10–S11.</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19</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Interpret the results in the context of the pre-specified hypotheses and other relevant studies; include a discussion of limitations of the study.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341–398; 406–422</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 implications for future research and clinical value.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391–398; 424–429</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bl>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REMARK checklist</dc:title>
  <cp:revision>1</cp:revision>
  <dcterms:created xsi:type="dcterms:W3CDTF">2026-10-26T04:14:16.029Z</dcterms:created>
  <dcterms:modified xsi:type="dcterms:W3CDTF">2026-10-26T04:14:16.029Z</dcterms:modified>
</cp:coreProperties>
</file>

<file path=docProps/custom.xml><?xml version="1.0" encoding="utf-8"?>
<Properties xmlns="http://schemas.openxmlformats.org/officeDocument/2006/custom-properties" xmlns:vt="http://schemas.openxmlformats.org/officeDocument/2006/docPropsVTypes"/>
</file>