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TRIPOD+AI checklist</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spacing w:after="120" w:line="300"/>
      </w:pPr>
      <w:r>
        <w:rPr>
          <w:rFonts w:ascii="Times New Roman" w:cs="Times New Roman" w:eastAsia="Times New Roman" w:hAnsi="Times New Roman"/>
        </w:rPr>
        <w:t xml:space="preserve">Checklist items from Collins GS et al. TRIPOD+AI statement. BMJ 2024;385:e078378. Line numbers refer to the submitted manuscript (continuous line numbering). D = development, E = evaluation; this study evaluates published models, so items for development only (D) are not applicable.</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60"/>
        <w:gridCol w:w="4200"/>
        <w:gridCol w:w="1650"/>
        <w:gridCol w:w="5400"/>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Section/topic</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D/E</w:t>
            </w:r>
          </w:p>
        </w:tc>
        <w:tc>
          <w:tcPr>
            <w:tcW w:type="dxa" w:w="42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54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Title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the study as developing or evaluating the performance of a multivariable prediction model, the target population, and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Evaluation (benchmark) of published prognostic signatures in lung adenocarcinoma. The outcome, overall survival, is named in the abstract (line 21).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Abstract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See TRIPOD+AI for Abstracts checklist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15–33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See the TRIPOD+AI for Abstracts table below.</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Background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Explain the healthcare context (including whether diagnostic or prognostic) and rationale for developing or evaluating the prediction model, including references to existing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38–66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Prognostic models; rationale for evaluating published lncRNA signatures; existing signatures cited (refs 15–29, Table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target population and the intended purpose of the prediction model in the context of the care pathway, including its intended users (eg, healthcare professionals, patients, public)</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38–46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Patients with LUAD; prognostic stratification by tumour gene expression. The original papers do not define intended users; this study evaluates published models and does not propose clinical use.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known health inequalities between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addressed: the public cohorts record no sociodemographic variables beyond age and sex.</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Objectives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study objectives, including whether the study describes the development or validation of a prediction model (or both)</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67–73; 76–91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External validation (evaluation) of published models only; hypotheses H1–H3 pre-registered.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sources of data separately for the development and evaluation datasets (eg, randomised trial, cohort, routine care or registry data), the rationale for using these data, and representativeness of the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107–114; 116–127; 144–150; 370–381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Development data: TCGA-LUAD (reference). Evaluation data: six public cohorts (Table 2). Representativeness of platforms and annotation discussed.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dates of the collected participant data, including start and end of participant accrual; and, if applicable, end of follow-up</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107–114</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Median follow-up in Table 2. Accrual periods are those of the source studies (refs 2, 30–35).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Participants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key elements of the study setting (eg, primary care, secondary care, general population) including the number and location of centres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107–114</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Public tumour-expression cohorts, cited with their source publications (refs 2, 30–35), which describe centres and setting; platforms in Table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eligibility criteria for study participants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109–112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Signature–cohort eligibility (coverage, independence): lines 140–142 and 144–150.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details of any treatments received, and how they were handled during model development or evaluation, if relevant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221–222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Treatment is not recorded consistently in the public cohorts; GSE31210 cases with incomplete resection or adjuvant therapy excluded in a sensitivity analysis.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 preparation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data pre-processing and quality checking, including whether this was similar across relevant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116–127; 129–142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Supplementary Tables S2–S5. Not examined by sociodemographic group.</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Outcome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Clearly define the outcome that is being predicted and the time horizon, including how and when assessed, the rationale for choosing this outcome, and whether the method of outcome assessment is consistent across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113; 181–182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 (the outcome of every included signature, line 95–96); time horizons 12, 36 and 60 months.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outcome assessment requires subjective interpretation, describe the qualifications and demographic characteristics of the outcome assessors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overall survival.</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any actions to blind assessment of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survival was recorded by the source studies before this study.</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Predictors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choice of initial predictors (eg, literature, previous models, all available predictors) and any pre-selection of predictors before model building</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93–100; 101–105</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development): predictors are the published genes and coefficients (Table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Clearly define all predictors, including how and when they were measured (and any actions to blind assessment of predictors for the outcome and other predictors)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116–127; 129–142; 152–155</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1; Supplementary Table S4. Expression was measured by the source studies; scores were computed by code without access to outcomes.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predictor measurement requires subjective interpretation, describe the qualifications and demographic characteristics of the predictor assessors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gene expression.</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Sample size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Explain how the study size was arrived at (separately for development and evaluation), and justify that the study size was sufficient to answer the research question. Include details of any sample size calculation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52–54; 201–206; 321–326; 361–369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Sizes fixed by the public cohorts; power simulated at each cohort's own size (Supplementary Table S9).</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Missing 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missing data were handled. Provide reasons for omitting any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120; 140–142; 153–154; 175–176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Missing genes reported with reasons (Supplementary Tables S3, S5); stage missing in Table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Analytical 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the data were used (eg, for development and evaluation of model performance) in the analysis, including whether the data were partitioned, considering any sample size requirements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107–114</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TCGA-LUAD used only as the apparent-performance reference.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Depending on the type of model, describe how predictors were handled in the analyses (functional form, rescaling, transformation, or any standardisation)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152–155</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within-cohort z-scoring of expression as registered.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type of model, rationale, all model building steps, including any hyperparameter tuning, and method for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was built or refitted.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if and how any heterogeneity in estimates of model parameter values and model performance was handled and quantified across clusters (eg, hospitals, countries). See TRIPOD-Cluster for additional considerations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185–193; 208–216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Cohorts as clusters: random-effects pooling with leave-one-cohort-out estimates; cluster bootstrap and CR2 multilevel cross-check.</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all measures and plots used (and their rationale) to evaluate model performance (eg, discrimination, calibration, clinical utility) and, if relevant, to compare multiple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163–170; 172–176; 179–193; 195–206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 HR per SD, Uno's C-index, time-dependent AUC, log-rank test, RMST; calibration not assessed (lines 417–419).</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12f</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model updating (eg, recalibration) arising from the model evaluation, either overall or for particular sociodemographic groups or settings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152–155</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 updating: published coefficients applied verbatim.</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model evaluation, describe how the model predictions were calculated (eg, formula, code, object, application programming interface)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152–155; 237–246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Formula and code (Code availability, lines 439–442).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Class imbalance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class imbalance methods were used, state why and how this was done, and any subsequent methods to recalibrate the model or the model predictions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time-to-event outcome; no class imbalance methods.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Fairness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approaches that were used to address model fairness and their rationale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addressed (no sociodemographic data beyond age and sex).</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output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output of the prediction model (eg, probabilities, classification). Provide details and rationale for any classification and how the thresholds were identified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152–155</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continuous risk score; median split only for log-rank tests and Kaplan–Meier curves.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Training versus evaluation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any differences between the development and evaluation data in healthcare setting, eligibility criteria, outcome, and predictors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370–381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Platforms and library types in Table 2; gene coverage in Figure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Ethical approval</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17</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Name the institutional research board or ethics committee that approved the study and describe the participant informed consent or the ethics committee waiver of informed consent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431–432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Public, de-identified data.</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Funding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the source of funding and the role of the funders for the present study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446–448</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Conflicts of interest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Declare any conflicts of interest and financial disclosures for all authors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443–445</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Protocol</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Indicate where the study protocol can be accessed or state that a protocol was not prepared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76–91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osf.io/qckvr; deviations in Supplementary File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registration information for the study, including register name and registration number, or state that the study was not registered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76–91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Open Science Framework, osf.io/qckvr; Updates 1–4.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 sharing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availability of the study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435–438</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Code sharing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18f</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availability of the analytical code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237–246; 439–442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Patient and public involvement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any patient and public involvement during the design, conduct, reporting, interpretation, or dissemination of the study or state no involvement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433–434</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Participants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flow of participants through the study, including the number of participants with and without the outcome and, if applicable, a summary of the follow-up time. A diagram may be helpful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256–260; 262–269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(patients, deaths, median follow-up); Figure 1 (selection of signatures); Figure 2 (coverage).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characteristics overall and, where applicable, for each data source or setting, including the key dates, key predictors (including demographics), treatments received, sample size, number of outcome events, follow-up time, and amount of missing data. A table may be helpful. Report any differences across key 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256–260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(age, sex, stage with missing values, deaths, follow-up).</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model evaluation, show a comparison with the development data of the distribution of important predictors (demographics, predictors, and outcome)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256–260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gives TCGA-LUAD (development data) beside the evaluation cohorts; signature gene coverage in Figure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development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number of participants and outcome events in each analysis (eg, for model development, hyperparameter tuning, model evaluation)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256–260; 262–269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Per pair: Table 3 and Supplementary Tables S6–S8.</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specification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full prediction model (eg, formula, code, object, application programming interface) to allow predictions in new individuals and to enable third party evaluation and implementation, including any restrictions to access or reuse (eg, freely available, proprietary)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152–155</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the published models are given in Table 1 and Supplementary Table S4.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performance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model performance estimates with confidence intervals, including for any key subgroups (eg, sociodemographic). Consider plots to aid presentation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271–281; 283–289; 291–300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3; Figures 3–4; Supplementary Tables S6–S8; stage I–II subgroup in Table 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examined, report results of any heterogeneity in model performance across clusters. See TRIPOD-Cluster for additional details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301–307; 316–317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Figure 5; Table 4; Supplementary Table S10.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updating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results from any model updating, including the updated model and subsequent performance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updating.</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Interpretation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an overall interpretation of the main results, including issues of fairness in the context of the objectives and previous studies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341–398</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Fairness not examined (item 14).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Limitations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26</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any limitations of the study (such as a non-representative sample, sample size, overfitting, missing data) and their effects on any biases, statistical uncertainty, and generalisability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361–369; 370–381; 406–422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Usability of the model in the context of current care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poor quality or unavailable input data (eg, predictor values) should be assessed and handled when implementing the prediction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handling of unmeasurable genes in validation: lines 153–154.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whether users will be required to interact in the handling of the input data or use of the model, and what level of expertise is required of users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is proposed for use.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any next steps for future research, with a specific view to applicability and generalisability of the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391–398; 424–429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bl>
    <w:p>
      <w:pPr>
        <w:pStyle w:val="Heading1"/>
        <w:spacing w:after="120" w:before="300"/>
      </w:pPr>
      <w:r>
        <w:rPr>
          <w:rFonts w:ascii="Times New Roman" w:cs="Times New Roman" w:eastAsia="Times New Roman" w:hAnsi="Times New Roman"/>
        </w:rPr>
        <w:t xml:space="preserve">TRIPOD+AI for Abstracts</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300"/>
        <w:gridCol w:w="1650"/>
        <w:gridCol w:w="4860"/>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48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Title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the study as developing or evaluating the performance of a multivariable prediction model, the target population, and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Outcome in line 21.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Background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a brief explanation of the healthcare context and rationale for developing or evaluating the performance of all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15–17</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Objectives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study objectives, including whether the study describes model development, evaluation, or both</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17–23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Evaluation of published models (H1–H3).</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sources of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18–20</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eligibility criteria and setting where the data were collected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20–21</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Signature–cohort eligibility; cohorts named in the main text.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outcome to be predicted by the model, including time horizon of predictions in case of prognostic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21</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 time horizons in the main text (lines 181–182).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type of model, a summary of the model-building steps, and the method for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(evaluation only).</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measures used to assess model performance (eg, discrimination, calibration, clinical utility)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21–23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Results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number of participants and outcome events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18–19</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Summarise the predictors in the final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(evaluation only); 15 signatures (line 18).</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model performance estimates (with confidence intervals)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23–30</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an overall interpretation of the main results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30–33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the registration number and name of the registry or repository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17–18</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osf.io/qckvr.</w:t>
            </w:r>
          </w:p>
        </w:tc>
      </w:tr>
    </w:tbl>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TRIPOD+AI checklist</dc:title>
  <cp:revision>1</cp:revision>
  <dcterms:created xsi:type="dcterms:W3CDTF">2026-10-26T04:14:15.364Z</dcterms:created>
  <dcterms:modified xsi:type="dcterms:W3CDTF">2026-10-26T04:14:15.365Z</dcterms:modified>
</cp:coreProperties>
</file>

<file path=docProps/custom.xml><?xml version="1.0" encoding="utf-8"?>
<Properties xmlns="http://schemas.openxmlformats.org/officeDocument/2006/custom-properties" xmlns:vt="http://schemas.openxmlformats.org/officeDocument/2006/docPropsVTypes"/>
</file>