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Supplementary File 2. Reporting checklist for lncRNA prognostic signature studies in lung adenocarcinoma</w:t>
      </w:r>
    </w:p>
    <w:p>
      <w:pPr>
        <w:spacing w:after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Published lncRNA prognostic signatures for lung adenocarcinoma share a modest transportable signal, but none is individually validated: a pre-registered benchmark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</w:rPr>
        <w:t xml:space="preserve">Items that a reader needs to apply a published signature to new data, and that a validation study needs to report so that its result can be interpreted. Derived from the reporting-completeness analysis of 76 published papers (Supplementary Table S19) and from the problems met when applying 15 signatures to seven cohorts in this benchmark.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</w:rPr>
        <w:t xml:space="preserve">Signature reporting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Every signature gene with a stable identifier: Ensembl gene ID with version, plus the gene symbol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gene annotation release used (e.g. GENCODE v36), because clone-based lncRNA names are reassigned between releases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coefficient of every gene, with sign, to the precision used in the risk score; the same values in text, formula and tables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expression scale to which the coefficients apply (e.g. log2(TPM + 1), log2 FPKM, z-scored within cohort) and the quantification pipeline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numeric risk-score cutoff, if risk groups are reported, and the rule used to choose it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development cohort, with its accession, platform and library type (poly(A) or total RNA)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</w:rPr>
        <w:t xml:space="preserve">Validation reporting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Every validation cohort, with its accession, and whether it was used for gene selection or tuning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number of patients and of events in each validation cohort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Gene coverage in each cohort: how many signature genes were measurable, and how missing genes were handled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Discrimination (C-index with 95% CI) and the hazard ratio per SD of the score in each cohort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A comparison with random gene sets of the same size, scored with the same coefficients, in addition to a test against no association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Added value beyond stage and other clinical predictors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If cohorts are pooled: the model, the number of cohorts (k), heterogeneity, and the interval method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</w:rPr>
        <w:t xml:space="preserve">Reporting hygiene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Pre-registration of the analysis plan, if any, with its updates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Deviations from the plan, with dates and reasons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Code and gene mappings available, so that the score can be recomputed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</w:rPr>
        <w:t xml:space="preserve">Abstract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Number of events and gene coverage in each validation cohort</w:t>
      </w:r>
    </w:p>
    <w:p>
      <w:pPr>
        <w:spacing w:after="80" w:line="276"/>
        <w:ind w:left="400" w:hanging="4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rFonts w:ascii="Times New Roman" w:cs="Times New Roman" w:eastAsia="Times New Roman" w:hAnsi="Times New Roman"/>
        </w:rPr>
        <w:t xml:space="preserve">The expression scale of the coefficients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File 2</dc:title>
  <cp:revision>1</cp:revision>
  <dcterms:created xsi:type="dcterms:W3CDTF">2026-10-24T12:55:12.224Z</dcterms:created>
  <dcterms:modified xsi:type="dcterms:W3CDTF">2026-10-24T12:55:12.225Z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