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Times New Roman" w:cs="Times New Roman" w:eastAsia="Times New Roman" w:hAnsi="Times New Roman"/>
          <w:b/>
          <w:bCs/>
          <w:sz w:val="32"/>
          <w:szCs w:val="32"/>
        </w:rPr>
        <w:t xml:space="preserve">Published lncRNA prognostic signatures for lung adenocarcinoma share a modest transportable signal, but none is individually validated: a pre-registered benchmark</w:t>
      </w:r>
    </w:p>
    <w:p>
      <w:pPr>
        <w:spacing w:after="120" w:line="360"/>
      </w:pPr>
      <w:r>
        <w:rPr>
          <w:rFonts w:ascii="Times New Roman" w:cs="Times New Roman" w:eastAsia="Times New Roman" w:hAnsi="Times New Roman"/>
        </w:rPr>
        <w:t xml:space="preserve">Running title: Benchmark of LUAD lncRNA prognostic signatures</w:t>
      </w:r>
    </w:p>
    <w:p>
      <w:pPr>
        <w:spacing w:after="120" w:line="360"/>
      </w:pPr>
      <w:r>
        <w:rPr>
          <w:rFonts w:ascii="Times New Roman" w:cs="Times New Roman" w:eastAsia="Times New Roman" w:hAnsi="Times New Roman"/>
        </w:rPr>
        <w:t xml:space="preserve">Authors: </w:t>
      </w:r>
      <w:r>
        <w:rPr>
          <w:rFonts w:ascii="Times New Roman" w:cs="Times New Roman" w:eastAsia="Times New Roman" w:hAnsi="Times New Roman"/>
          <w:highlight w:val="yellow"/>
        </w:rPr>
        <w:t xml:space="preserve">[Author names and order to be agreed]</w:t>
      </w:r>
      <w:r>
        <w:rPr>
          <w:rFonts w:ascii="Times New Roman" w:cs="Times New Roman" w:eastAsia="Times New Roman" w:hAnsi="Times New Roman"/>
        </w:rPr>
        <w:t xml:space="preserve">¹*</w:t>
      </w:r>
    </w:p>
    <w:p>
      <w:pPr>
        <w:spacing w:after="120" w:line="360"/>
      </w:pPr>
      <w:r>
        <w:rPr>
          <w:rFonts w:ascii="Times New Roman" w:cs="Times New Roman" w:eastAsia="Times New Roman" w:hAnsi="Times New Roman"/>
        </w:rPr>
        <w:t xml:space="preserve">¹ </w:t>
      </w:r>
      <w:r>
        <w:rPr>
          <w:rFonts w:ascii="Times New Roman" w:cs="Times New Roman" w:eastAsia="Times New Roman" w:hAnsi="Times New Roman"/>
          <w:highlight w:val="yellow"/>
        </w:rPr>
        <w:t xml:space="preserve">[Department, Institution, City, Country]</w:t>
      </w:r>
    </w:p>
    <w:p>
      <w:pPr>
        <w:spacing w:after="120" w:line="360"/>
      </w:pPr>
      <w:r>
        <w:rPr>
          <w:rFonts w:ascii="Times New Roman" w:cs="Times New Roman" w:eastAsia="Times New Roman" w:hAnsi="Times New Roman"/>
        </w:rPr>
        <w:t xml:space="preserve">* Correspondence: </w:t>
      </w:r>
      <w:r>
        <w:rPr>
          <w:rFonts w:ascii="Times New Roman" w:cs="Times New Roman" w:eastAsia="Times New Roman" w:hAnsi="Times New Roman"/>
          <w:highlight w:val="yellow"/>
        </w:rPr>
        <w:t xml:space="preserve">[name, e-mail address]</w:t>
      </w:r>
    </w:p>
    <w:p>
      <w:pPr>
        <w:spacing w:after="120" w:line="360"/>
      </w:pPr>
      <w:r>
        <w:rPr>
          <w:rFonts w:ascii="Times New Roman" w:cs="Times New Roman" w:eastAsia="Times New Roman" w:hAnsi="Times New Roman"/>
        </w:rPr>
        <w:t xml:space="preserve">Word count: abstract 316; main text 4705 (Introduction to Conclusions). Tables: 5. Figures: 6. Supplementary material: 19 tables, 2 figures, 2 files.</w:t>
      </w:r>
    </w:p>
    <w:p>
      <w:pPr>
        <w:spacing w:after="240" w:before="240"/>
      </w:pPr>
      <w:r>
        <w:rPr>
          <w:rFonts w:ascii="Times New Roman" w:cs="Times New Roman" w:eastAsia="Times New Roman" w:hAnsi="Times New Roman"/>
          <w:i/>
          <w:iCs/>
          <w:highlight w:val="yellow"/>
        </w:rPr>
        <w:t xml:space="preserve">Highlighted text marks items to complete or verify before submission.</w:t>
      </w:r>
    </w:p>
    <w:p>
      <w:r>
        <w:br w:type="page"/>
      </w:r>
    </w:p>
    <w:p>
      <w:pPr>
        <w:pStyle w:val="Heading1"/>
        <w:spacing w:after="120" w:before="360"/>
      </w:pPr>
      <w:r>
        <w:t xml:space="preserve">Abstract</w:t>
      </w:r>
    </w:p>
    <w:p>
      <w:pPr>
        <w:spacing w:after="120" w:line="480"/>
      </w:pPr>
      <w:r>
        <w:rPr>
          <w:rFonts w:ascii="Times New Roman" w:cs="Times New Roman" w:eastAsia="Times New Roman" w:hAnsi="Times New Roman"/>
          <w:b/>
          <w:bCs/>
        </w:rPr>
        <w:t xml:space="preserve">Background.</w:t>
      </w:r>
      <w:r>
        <w:rPr>
          <w:rFonts w:ascii="Times New Roman" w:cs="Times New Roman" w:eastAsia="Times New Roman" w:hAnsi="Times New Roman"/>
        </w:rPr>
        <w:t xml:space="preserve"> Hundreds of long non-coding RNA (lncRNA) prognostic signatures have been published for lung adenocarcinoma (LUAD), mostly developed in TCGA-LUAD and rarely tested, with their published coefficients, in independent patients.</w:t>
      </w:r>
    </w:p>
    <w:p>
      <w:pPr>
        <w:spacing w:after="120" w:line="480"/>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In a pre-registered study (osf.io/qckvr), 15 signatures (102 genes; coefficients extracted twice, independently) were applied verbatim to TCGA-LUAD (apparent performance; 504 patients) and six independent cohorts (1,146 patients, 345 deaths), with genes matched by Ensembl identifier. A signature was evaluated where at least 80% of its genes were measurable and its authors had not used the cohort. Per signature–cohort pair we compared the C-index with 2,000 expression-matched random gene sets (H1; Holm correction within cohort), tested added value beyond stage, sex and age (H2), and compared performance across cohorts (H3). An aggregate transportability analysis was added after registration.</w:t>
      </w:r>
    </w:p>
    <w:p>
      <w:pPr>
        <w:spacing w:after="120" w:line="480"/>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pPr>
        <w:spacing w:after="120" w:line="480"/>
      </w:pPr>
      <w:r>
        <w:rPr>
          <w:rFonts w:ascii="Times New Roman" w:cs="Times New Roman" w:eastAsia="Times New Roman" w:hAnsi="Times New Roman"/>
          <w:b/>
          <w:bCs/>
        </w:rPr>
        <w:t xml:space="preserve">Conclusions.</w:t>
      </w:r>
      <w:r>
        <w:rPr>
          <w:rFonts w:ascii="Times New Roman" w:cs="Times New Roman" w:eastAsia="Times New Roman" w:hAnsi="Times New Roman"/>
        </w:rPr>
        <w:t xml:space="preserve"> Published LUAD lncRNA signatures share a modest prognostic signal that transports to independent cohorts, but no single signature could be shown to outperform random genes. Public cohorts measure too few lncRNAs and record too few deaths to validate individual signatures; stable gene identifiers, a stated expression scale and larger lncRNA-capable cohorts are needed.</w:t>
      </w:r>
    </w:p>
    <w:p>
      <w:pPr>
        <w:spacing w:after="120" w:line="480"/>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lung adenocarcinoma; long non-coding RNA; prognostic signature; external validation; reproducibility; pre-registration; random gene sets.</w:t>
      </w:r>
    </w:p>
    <w:p>
      <w:r>
        <w:br w:type="page"/>
      </w:r>
    </w:p>
    <w:p>
      <w:pPr>
        <w:pStyle w:val="Heading1"/>
        <w:spacing w:after="120" w:before="360"/>
      </w:pPr>
      <w:r>
        <w:t xml:space="preserve">Introduction</w:t>
      </w:r>
    </w:p>
    <w:p>
      <w:pPr>
        <w:spacing w:after="120" w:line="480"/>
      </w:pPr>
      <w:r>
        <w:rPr>
          <w:rFonts w:ascii="Times New Roman" w:cs="Times New Roman" w:eastAsia="Times New Roman" w:hAnsi="Times New Roman"/>
        </w:rPr>
        <w:t xml:space="preserve">Lung cancer remains the leading cause of cancer death worldwide, and adenocarcinoma is its most common histological type [1]. Survival differs widely between patients with the same stage, which has motivated many attempts to refine prognosis with tumour gene expression [2]. Long non-coding RNAs (lncRNAs)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pPr>
        <w:spacing w:after="120" w:line="480"/>
      </w:pPr>
      <w:r>
        <w:rPr>
          <w:rFonts w:ascii="Times New Roman" w:cs="Times New Roman" w:eastAsia="Times New Roman" w:hAnsi="Times New Roman"/>
        </w:rPr>
        <w:t xml:space="preserve">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programmes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pPr>
        <w:spacing w:after="120" w:line="480"/>
      </w:pPr>
      <w:r>
        <w:rPr>
          <w:rFonts w:ascii="Times New Roman" w:cs="Times New Roman" w:eastAsia="Times New Roman" w:hAnsi="Times New Roman"/>
        </w:rP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lncRNAs are captured [11]. lncRNA names are unstable: clone-based names such as AC026355.1 have been reassigned between gene annotation releases, and Ensembl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pPr>
        <w:spacing w:after="120" w:line="480"/>
      </w:pPr>
      <w:r>
        <w:rPr>
          <w:rFonts w:ascii="Times New Roman" w:cs="Times New Roman" w:eastAsia="Times New Roman" w:hAnsi="Times New Roman"/>
        </w:rPr>
        <w:t xml:space="preserve">We therefore carried out a pre-registered benchmark of 15 published LUAD lncRNA signatures across TCGA-LUAD and six independent cohorts. Signatures were applied exactly as published, with genes matched by Ensembl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pPr>
        <w:pStyle w:val="Heading1"/>
        <w:spacing w:after="120" w:before="360"/>
      </w:pPr>
      <w:r>
        <w:t xml:space="preserve">Methods</w:t>
      </w:r>
    </w:p>
    <w:p>
      <w:pPr>
        <w:pStyle w:val="Heading2"/>
        <w:spacing w:after="120" w:before="240"/>
      </w:pPr>
      <w:r>
        <w:t xml:space="preserve">Study design and registration</w:t>
      </w:r>
    </w:p>
    <w:p>
      <w:pPr>
        <w:spacing w:after="120" w:line="480"/>
      </w:pPr>
      <w:r>
        <w:rPr>
          <w:rFonts w:ascii="Times New Roman" w:cs="Times New Roman" w:eastAsia="Times New Roman" w:hAnsi="Times New Roman"/>
        </w:rPr>
        <w:t xml:space="preserve">This is a computational validation study of public data. The protocol was registered on the Open Science Framework (osf.io/qckvr)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stated that any further change at the gene-mapping or coverage step would be filed before the outcome analysis; the changes made at that step were instead fixed in the version-controlled freeze and were filed after the analysis in Update 4 (</w:t>
      </w:r>
      <w:r>
        <w:rPr>
          <w:rFonts w:ascii="Times New Roman" w:cs="Times New Roman" w:eastAsia="Times New Roman" w:hAnsi="Times New Roman"/>
          <w:highlight w:val="yellow"/>
        </w:rPr>
        <w:t xml:space="preserve">[date of Update 4 — fill in]</w:t>
      </w:r>
      <w:r>
        <w:rPr>
          <w:rFonts w:ascii="Times New Roman" w:cs="Times New Roman" w:eastAsia="Times New Roman" w:hAnsi="Times New Roman"/>
        </w:rPr>
        <w:t xml:space="preserve">), together with the changes made after the freeze. All deviations are listed in Supplementary File 1. The study is reported following REMARK and TRIPOD+AI [9,10,14].</w:t>
      </w:r>
    </w:p>
    <w:p>
      <w:pPr>
        <w:pStyle w:val="Heading2"/>
        <w:spacing w:after="120" w:before="240"/>
      </w:pPr>
      <w:r>
        <w:t xml:space="preserve">Signature selection and extraction</w:t>
      </w:r>
    </w:p>
    <w:p>
      <w:pPr>
        <w:spacing w:after="120" w:line="480"/>
      </w:pPr>
      <w:r>
        <w:rPr>
          <w:rFonts w:ascii="Times New Roman" w:cs="Times New Roman" w:eastAsia="Times New Roman" w:hAnsi="Times New Roman"/>
        </w:rPr>
        <w:t xml:space="preserve">We searched PubMed on </w:t>
      </w:r>
      <w:r>
        <w:rPr>
          <w:rFonts w:ascii="Times New Roman" w:cs="Times New Roman" w:eastAsia="Times New Roman" w:hAnsi="Times New Roman"/>
          <w:highlight w:val="yellow"/>
        </w:rPr>
        <w:t xml:space="preserve">[date of search — fill in]</w:t>
      </w:r>
      <w:r>
        <w:rPr>
          <w:rFonts w:ascii="Times New Roman" w:cs="Times New Roman" w:eastAsia="Times New Roman" w:hAnsi="Times New Roman"/>
        </w:rPr>
        <w:t xml:space="preserve"> for LUAD prognostic signatures built from lncRNAs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pPr>
        <w:spacing w:after="120" w:line="480"/>
      </w:pPr>
      <w:r>
        <w:rPr>
          <w:rFonts w:ascii="Times New Roman" w:cs="Times New Roman" w:eastAsia="Times New Roman" w:hAnsi="Times New Roman"/>
        </w:rPr>
        <w:t xml:space="preserve">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pPr>
        <w:pStyle w:val="Heading2"/>
        <w:spacing w:after="120" w:before="240"/>
      </w:pPr>
      <w:r>
        <w:t xml:space="preserve">Cohorts</w:t>
      </w:r>
    </w:p>
    <w:p>
      <w:pPr>
        <w:spacing w:after="120" w:line="480"/>
      </w:pPr>
      <w:r>
        <w:rPr>
          <w:rFonts w:ascii="Times New Roman" w:cs="Times New Roman" w:eastAsia="Times New Roman" w:hAnsi="Times New Roman"/>
        </w:rPr>
        <w:t xml:space="preserve">TCGA-LUAD was the apparent-performance reference, because every signature had been developed in it [2]. Six cohorts were independent: CPTAC-3 LUAD [30], GSE31210 [31], GSE50081 [32], GSE30219 [33], GSE81089 [34] and GSE72094 [35]. Eligible patients had a primary LUAD tumour, overall survival greater than zero and a known vital status. Mixed-histology cohorts were restricted to adenocarcinoma. In TCGA-LUAD, where 12 patients had more than one primary-tumour sample, the sample with the largest total read count was kept. The endpoint was overall survival, in months (days / 30.4375). Stage was coded I–IV; in GSE30219 it was derived from pT, pN and pM.</w:t>
      </w:r>
    </w:p>
    <w:p>
      <w:pPr>
        <w:pStyle w:val="Heading2"/>
        <w:spacing w:after="120" w:before="240"/>
      </w:pPr>
      <w:r>
        <w:t xml:space="preserve">Expression data processing</w:t>
      </w:r>
    </w:p>
    <w:p>
      <w:pPr>
        <w:spacing w:after="120" w:line="480"/>
      </w:pPr>
      <w:r>
        <w:rPr>
          <w:rFonts w:ascii="Times New Roman" w:cs="Times New Roman" w:eastAsia="Times New Roman" w:hAnsi="Times New Roman"/>
        </w:rPr>
        <w:t xml:space="preserve">TCGA-LUAD and CPTAC-3 STAR-Counts data (GENCODE v36) were obtained from the NCI Genomic Data Commons (Data Release 46.0), through TCGAbiolinks and the GDC application programming interface respectively [36], and used as log2(TPM + 1). GSE81089 transcripts per million (TPM) were computed from the deposited Cufflinks FPKM values (Ensembl 73 gene models); values coded −1 were treated as missing. The three Affymetrix HG-U133 Plus 2.0 (GPL570) cohorts were normalised from raw CEL files by RMA within each cohort [37]. Probes were mapped to Ensembl genes (release 114, primary assembly only), probes matching several genes were removed, and one probe per gene was kept by a fixed rule (_at before _s_at before _x_at, then highest mean expression), so that each gene used the same probe in all three cohorts. GSE72094 (GPL15048) was used as the submitters' normalised series matrix, with Entrez identifiers mapped to Ensembl release 114. GEO data were retrieved with GEOquery [38].</w:t>
      </w:r>
    </w:p>
    <w:p>
      <w:pPr>
        <w:pStyle w:val="Heading2"/>
        <w:spacing w:after="120" w:before="240"/>
      </w:pPr>
      <w:r>
        <w:t xml:space="preserve">Gene identity and coverage</w:t>
      </w:r>
    </w:p>
    <w:p>
      <w:pPr>
        <w:spacing w:after="120" w:line="480"/>
      </w:pPr>
      <w:r>
        <w:rPr>
          <w:rFonts w:ascii="Times New Roman" w:cs="Times New Roman" w:eastAsia="Times New Roman" w:hAnsi="Times New Roman"/>
        </w:rPr>
        <w:t xml:space="preserve">Each published gene name was mapped once to an Ensembl gene identifier, using the GENCODE release whose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Ensembl identifier had been retired or merged, its official successor in the Ensembl identifier history [13] was used in a cohort only if the original identifier was not measurable there. For GSE81089, annotated with the older Ensembl 73, we checked by a rule fixed before any outcome analysis whether any older identifier led to a missing signature gene; none did.</w:t>
      </w:r>
    </w:p>
    <w:p>
      <w:pPr>
        <w:spacing w:after="120" w:line="480"/>
      </w:pPr>
      <w:r>
        <w:rPr>
          <w:rFonts w:ascii="Times New Roman" w:cs="Times New Roman" w:eastAsia="Times New Roman" w:hAnsi="Times New Roman"/>
        </w:rPr>
        <w:t xml:space="preserve">A gene was measurable in a cohort if it had no missing values, was not constant (SD ≥ 10⁻⁶) and, for RNA-seq, had TPM &gt; 0 in at least 10% of patients. A signature was evaluable in a cohort if at least 80% of its genes were measurable (registered rule).</w:t>
      </w:r>
    </w:p>
    <w:p>
      <w:pPr>
        <w:pStyle w:val="Heading2"/>
        <w:spacing w:after="120" w:before="240"/>
      </w:pPr>
      <w:r>
        <w:t xml:space="preserve">Independence of cohorts</w:t>
      </w:r>
    </w:p>
    <w:p>
      <w:pPr>
        <w:spacing w:after="120" w:line="480"/>
      </w:pPr>
      <w:r>
        <w:rPr>
          <w:rFonts w:ascii="Times New Roman" w:cs="Times New Roman" w:eastAsia="Times New Roman" w:hAnsi="Times New Roman"/>
        </w:rPr>
        <w:t xml:space="preserve">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Geng 2021 used GSE31210; Yu 2024 used GSE31210, GSE50081 and GSE30219; and Yang 2022 used GSE50081 to validate a single signature gene, which we treated as use. No paper reported survival validation through an online portal that bundles these cohorts.</w:t>
      </w:r>
    </w:p>
    <w:p>
      <w:pPr>
        <w:pStyle w:val="Heading2"/>
        <w:spacing w:after="120" w:before="240"/>
      </w:pPr>
      <w:r>
        <w:t xml:space="preserve">Risk scores</w:t>
      </w:r>
    </w:p>
    <w:p>
      <w:pPr>
        <w:spacing w:after="120" w:line="480"/>
      </w:pPr>
      <w:r>
        <w:rPr>
          <w:rFonts w:ascii="Times New Roman" w:cs="Times New Roman" w:eastAsia="Times New Roman" w:hAnsi="Times New Roman"/>
        </w:rPr>
        <w:t xml:space="preserve">For each pair, the risk score was Σᵢ βᵢ·z(xᵢ), where βᵢ is the published coefficient of gene i and z(xᵢ) is its expression z-scored across the cohort's patients. Coefficients of genes that were not measurable were dropped, and the remaining coefficients were not rescaled. Higher scores denote higher risk.</w:t>
      </w:r>
    </w:p>
    <w:p>
      <w:pPr>
        <w:pStyle w:val="Heading2"/>
        <w:spacing w:after="120" w:before="240"/>
      </w:pPr>
      <w:r>
        <w:t xml:space="preserve">Stage positive control</w:t>
      </w:r>
    </w:p>
    <w:p>
      <w:pPr>
        <w:spacing w:after="120" w:line="480"/>
      </w:pPr>
      <w:r>
        <w:rPr>
          <w:rFonts w:ascii="Times New Roman" w:cs="Times New Roman" w:eastAsia="Times New Roman" w:hAnsi="Times New Roman"/>
        </w:rPr>
        <w:t xml:space="preserve">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pPr>
        <w:pStyle w:val="Heading2"/>
        <w:spacing w:after="120" w:before="240"/>
      </w:pPr>
      <w:r>
        <w:t xml:space="preserve">H1: comparison with random gene sets</w:t>
      </w:r>
    </w:p>
    <w:p>
      <w:pPr>
        <w:spacing w:after="120" w:line="480"/>
      </w:pPr>
      <w:r>
        <w:rPr>
          <w:rFonts w:ascii="Times New Roman" w:cs="Times New Roman" w:eastAsia="Times New Roman" w:hAnsi="Times New Roman"/>
        </w:rPr>
        <w:t xml:space="preserve">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#{|C_null − 0.5| ≥ |C_obs − 0.5|}) / 2,001. P-values were Holm-corrected across the signatures evaluable in each cohort [40]. A pair was Replicated if the adjusted p &lt; 0.05 and C &gt; 0.5, Contradicted if the adjusted p &lt; 0.05 and C &lt; 0.5, and otherwise Inconclusive.</w:t>
      </w:r>
    </w:p>
    <w:p>
      <w:pPr>
        <w:pStyle w:val="Heading2"/>
        <w:spacing w:after="120" w:before="240"/>
      </w:pPr>
      <w:r>
        <w:t xml:space="preserve">H2: added value beyond clinical covariates</w:t>
      </w:r>
    </w:p>
    <w:p>
      <w:pPr>
        <w:spacing w:after="120" w:line="480"/>
      </w:pPr>
      <w:r>
        <w:rPr>
          <w:rFonts w:ascii="Times New Roman" w:cs="Times New Roman" w:eastAsia="Times New Roman" w:hAnsi="Times New Roman"/>
        </w:rPr>
        <w:t xml:space="preserve">A Cox model with stage (four levels), sex and age was compared with the same model plus the standardised score by a likelihood-ratio test (1 df), Holm-corrected within cohort. Age entered where recorded for at least 80% of patients, which was the case in every cohort. We report the change in C-index with a 1,000-resample bootstrap CI and the adjusted HR per SD.</w:t>
      </w:r>
    </w:p>
    <w:p>
      <w:pPr>
        <w:pStyle w:val="Heading2"/>
        <w:spacing w:after="120" w:before="240"/>
      </w:pPr>
      <w:r>
        <w:t xml:space="preserve">H3: performance across cohorts and pooling</w:t>
      </w:r>
    </w:p>
    <w:p>
      <w:pPr>
        <w:spacing w:after="120" w:line="480"/>
      </w:pPr>
      <w:r>
        <w:rPr>
          <w:rFonts w:ascii="Times New Roman" w:cs="Times New Roman" w:eastAsia="Times New Roman" w:hAnsi="Times New Roman"/>
        </w:rPr>
        <w:t xml:space="preserve">For every signature we compared, descriptively, the C-index and the HR per SD of the standardised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pPr>
        <w:pStyle w:val="Heading2"/>
        <w:spacing w:after="120" w:before="240"/>
      </w:pPr>
      <w:r>
        <w:t xml:space="preserve">Secondary analyses</w:t>
      </w:r>
    </w:p>
    <w:p>
      <w:pPr>
        <w:spacing w:after="120" w:line="480"/>
      </w:pPr>
      <w:r>
        <w:rPr>
          <w:rFonts w:ascii="Times New Roman" w:cs="Times New Roman" w:eastAsia="Times New Roman" w:hAnsi="Times New Roman"/>
        </w:rPr>
        <w:t xml:space="preserve">Direction consistency (secondary exploratory outcome, Update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pPr>
        <w:pStyle w:val="Heading2"/>
        <w:spacing w:after="120" w:before="240"/>
      </w:pPr>
      <w:r>
        <w:t xml:space="preserve">Aggregate transportability (added after registration)</w:t>
      </w:r>
    </w:p>
    <w:p>
      <w:pPr>
        <w:spacing w:after="120" w:line="480"/>
      </w:pPr>
      <w:r>
        <w:rPr>
          <w:rFonts w:ascii="Times New Roman" w:cs="Times New Roman" w:eastAsia="Times New Roman" w:hAnsi="Times New Roman"/>
        </w:rP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pPr>
        <w:pStyle w:val="Heading2"/>
        <w:spacing w:after="120" w:before="240"/>
      </w:pPr>
      <w:r>
        <w:t xml:space="preserve">Sensitivity analyses</w:t>
      </w:r>
    </w:p>
    <w:p>
      <w:pPr>
        <w:spacing w:after="120" w:line="480"/>
      </w:pPr>
      <w:r>
        <w:rPr>
          <w:rFonts w:ascii="Times New Roman" w:cs="Times New Roman" w:eastAsia="Times New Roman" w:hAnsi="Times New Roman"/>
        </w:rPr>
        <w:t xml:space="preserve">Aggregate transportability and H1 were repeated with coverage at 100% and 70%; with scores computed on unstandardised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pPr>
        <w:pStyle w:val="Heading2"/>
        <w:spacing w:after="120" w:before="240"/>
      </w:pPr>
      <w:r>
        <w:t xml:space="preserve">Reporting completeness of the literature</w:t>
      </w:r>
    </w:p>
    <w:p>
      <w:pPr>
        <w:spacing w:after="120" w:line="480"/>
      </w:pPr>
      <w:r>
        <w:rPr>
          <w:rFonts w:ascii="Times New Roman" w:cs="Times New Roman" w:eastAsia="Times New Roman" w:hAnsi="Times New Roman"/>
        </w:rPr>
        <w:t xml:space="preserve">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pPr>
        <w:pStyle w:val="Heading2"/>
        <w:spacing w:after="120" w:before="240"/>
      </w:pPr>
      <w:r>
        <w:t xml:space="preserve">Software and reproducibility</w:t>
      </w:r>
    </w:p>
    <w:p>
      <w:pPr>
        <w:spacing w:after="120" w:line="480"/>
      </w:pPr>
      <w:r>
        <w:rPr>
          <w:rFonts w:ascii="Times New Roman" w:cs="Times New Roman" w:eastAsia="Times New Roman" w:hAnsi="Times New Roman"/>
        </w:rPr>
        <w:t xml:space="preserve">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will be released on publication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w:t>
      </w:r>
    </w:p>
    <w:p>
      <w:pPr>
        <w:pStyle w:val="Heading1"/>
        <w:spacing w:after="120" w:before="360"/>
      </w:pPr>
      <w:r>
        <w:t xml:space="preserve">Results</w:t>
      </w:r>
    </w:p>
    <w:p>
      <w:pPr>
        <w:pStyle w:val="Heading2"/>
        <w:spacing w:after="120" w:before="240"/>
      </w:pPr>
      <w:r>
        <w:t xml:space="preserve">Signatures and cohorts</w:t>
      </w:r>
    </w:p>
    <w:p>
      <w:pPr>
        <w:spacing w:after="120" w:line="480"/>
      </w:pPr>
      <w:r>
        <w:rPr>
          <w:rFonts w:ascii="Times New Roman" w:cs="Times New Roman" w:eastAsia="Times New Roman" w:hAnsi="Times New Roman"/>
        </w:rPr>
        <w:t xml:space="preserve">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pPr>
        <w:spacing w:after="120" w:line="480"/>
      </w:pPr>
      <w:r>
        <w:rPr>
          <w:rFonts w:ascii="Times New Roman" w:cs="Times New Roman" w:eastAsia="Times New Roman" w:hAnsi="Times New Roman"/>
        </w:rPr>
        <w:t xml:space="preserve">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pPr>
        <w:pStyle w:val="Heading2"/>
        <w:spacing w:after="120" w:before="240"/>
      </w:pPr>
      <w:r>
        <w:t xml:space="preserve">Coverage determined what could be tested</w:t>
      </w:r>
    </w:p>
    <w:p>
      <w:pPr>
        <w:spacing w:after="120" w:line="480"/>
      </w:pPr>
      <w:r>
        <w:rPr>
          <w:rFonts w:ascii="Times New Roman" w:cs="Times New Roman" w:eastAsia="Times New Roman" w:hAnsi="Times New Roman"/>
        </w:rPr>
        <w:t xml:space="preserve">Coverage varied more between platforms than between signatures (Figure 2). All 15 signatures were evaluable in TCGA-LUAD and CPTAC-3, eight in GSE81089, two in each GPL570 cohort and none in GSE72094. On the GPL570 arrays, Yu 2024 (8 of 9 genes) was evaluable but not independent, because its authors had used all three cohorts, which left Yao 2021 as the only independent signature there. In total, 26 independent signature–cohort pairs were evaluable: 15 in CPTAC-3, eight in GSE81089 and one in each GPL570 cohort. Seven signatures were evaluable only in CPTAC-3, seven in CPTAC-3 and GSE81089, and one (Yao 2021) in five independent cohorts.</w:t>
      </w:r>
    </w:p>
    <w:p>
      <w:pPr>
        <w:pStyle w:val="Heading2"/>
        <w:spacing w:after="120" w:before="240"/>
      </w:pPr>
      <w:r>
        <w:t xml:space="preserve">H1: no signature outperformed random gene sets</w:t>
      </w:r>
    </w:p>
    <w:p>
      <w:pPr>
        <w:spacing w:after="120" w:line="480"/>
      </w:pPr>
      <w:r>
        <w:rPr>
          <w:rFonts w:ascii="Times New Roman" w:cs="Times New Roman" w:eastAsia="Times New Roman" w:hAnsi="Times New Roman"/>
        </w:rPr>
        <w:t xml:space="preserve">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Jin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pPr>
        <w:pStyle w:val="Heading2"/>
        <w:spacing w:after="120" w:before="240"/>
      </w:pPr>
      <w:r>
        <w:t xml:space="preserve">H2: added value beyond stage, sex and age</w:t>
      </w:r>
    </w:p>
    <w:p>
      <w:pPr>
        <w:spacing w:after="120" w:line="480"/>
      </w:pPr>
      <w:r>
        <w:rPr>
          <w:rFonts w:ascii="Times New Roman" w:cs="Times New Roman" w:eastAsia="Times New Roman" w:hAnsi="Times New Roman"/>
        </w:rPr>
        <w:t xml:space="preserve">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pPr>
        <w:pStyle w:val="Heading2"/>
        <w:spacing w:after="120" w:before="240"/>
      </w:pPr>
      <w:r>
        <w:t xml:space="preserve">H3: attenuation from TCGA-LUAD to independent cohorts</w:t>
      </w:r>
    </w:p>
    <w:p>
      <w:pPr>
        <w:spacing w:after="120" w:line="480"/>
      </w:pPr>
      <w:r>
        <w:rPr>
          <w:rFonts w:ascii="Times New Roman" w:cs="Times New Roman" w:eastAsia="Times New Roman" w:hAnsi="Times New Roman"/>
        </w:rPr>
        <w:t xml:space="preserve">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pPr>
        <w:spacing w:after="120" w:line="480"/>
      </w:pPr>
      <w:r>
        <w:rPr>
          <w:rFonts w:ascii="Times New Roman" w:cs="Times New Roman" w:eastAsia="Times New Roman" w:hAnsi="Times New Roman"/>
        </w:rPr>
        <w:t xml:space="preserve">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(Q/(k − 1) = 0.19), the registered Hartung–Knapp interval was narrower than the common-effect interval (1.24–1.60); the modified Hartung–Knapp interval was 1.17–1.68. Leave-one-cohort-out estimates ranged from 1.38 to 1.44.</w:t>
      </w:r>
    </w:p>
    <w:p>
      <w:pPr>
        <w:pStyle w:val="Heading2"/>
        <w:spacing w:after="120" w:before="240"/>
      </w:pPr>
      <w:r>
        <w:t xml:space="preserve">Direction consistency and aggregate transportability</w:t>
      </w:r>
    </w:p>
    <w:p>
      <w:pPr>
        <w:spacing w:after="120" w:line="480"/>
      </w:pPr>
      <w:r>
        <w:rPr>
          <w:rFonts w:ascii="Times New Roman" w:cs="Times New Roman" w:eastAsia="Times New Roman" w:hAnsi="Times New Roman"/>
        </w:rPr>
        <w:t xml:space="preserve">Signature gene sets overlapped little (largest Jaccard index 0.33, between Geng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pPr>
        <w:spacing w:after="120" w:line="480"/>
      </w:pPr>
      <w:r>
        <w:rPr>
          <w:rFonts w:ascii="Times New Roman" w:cs="Times New Roman" w:eastAsia="Times New Roman" w:hAnsi="Times New Roman"/>
        </w:rPr>
        <w:t xml:space="preserve">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every sensitivity setting, with mean HRs from 1.23 (stage I–II only) to 1.30 (Figure 6; Table 5).</w:t>
      </w:r>
    </w:p>
    <w:p>
      <w:pPr>
        <w:pStyle w:val="Heading2"/>
        <w:spacing w:after="120" w:before="240"/>
      </w:pPr>
      <w:r>
        <w:t xml:space="preserve">Power</w:t>
      </w:r>
    </w:p>
    <w:p>
      <w:pPr>
        <w:spacing w:after="120" w:line="480"/>
      </w:pPr>
      <w:r>
        <w:rPr>
          <w:rFonts w:ascii="Times New Roman" w:cs="Times New Roman" w:eastAsia="Times New Roman" w:hAnsi="Times New Roman"/>
        </w:rPr>
        <w:t xml:space="preserve">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pPr>
        <w:pStyle w:val="Heading2"/>
        <w:spacing w:after="120" w:before="240"/>
      </w:pPr>
      <w:r>
        <w:t xml:space="preserve">Reporting completeness</w:t>
      </w:r>
    </w:p>
    <w:p>
      <w:pPr>
        <w:spacing w:after="120" w:line="480"/>
      </w:pPr>
      <w:r>
        <w:rPr>
          <w:rFonts w:ascii="Times New Roman" w:cs="Times New Roman" w:eastAsia="Times New Roman" w:hAnsi="Times New Roman"/>
        </w:rPr>
        <w:t xml:space="preserve">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difference was rounding of the same value, one concerned AUC values rather than coefficients or counts, and one was not confirmed.</w:t>
      </w:r>
    </w:p>
    <w:p>
      <w:pPr>
        <w:pStyle w:val="Heading1"/>
        <w:spacing w:after="120" w:before="360"/>
      </w:pPr>
      <w:r>
        <w:t xml:space="preserve">Discussion</w:t>
      </w:r>
    </w:p>
    <w:p>
      <w:pPr>
        <w:spacing w:after="120" w:line="480"/>
      </w:pPr>
      <w:r>
        <w:rPr>
          <w:rFonts w:ascii="Times New Roman" w:cs="Times New Roman" w:eastAsia="Times New Roman" w:hAnsi="Times New Roman"/>
        </w:rPr>
        <w:t xml:space="preserve">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matter.</w:t>
      </w:r>
    </w:p>
    <w:p>
      <w:pPr>
        <w:spacing w:after="120" w:line="480"/>
      </w:pPr>
      <w:r>
        <w:rPr>
          <w:rFonts w:ascii="Times New Roman" w:cs="Times New Roman" w:eastAsia="Times New Roman" w:hAnsi="Times New Roman"/>
        </w:rPr>
        <w:t xml:space="preserve">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programmes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pPr>
        <w:spacing w:after="120" w:line="480"/>
      </w:pPr>
      <w:r>
        <w:rPr>
          <w:rFonts w:ascii="Times New Roman" w:cs="Times New Roman" w:eastAsia="Times New Roman" w:hAnsi="Times New Roman"/>
        </w:rPr>
        <w:t xml:space="preserve">The limited power of the available cohorts is central to this conclusion. With 35–55 deaths per independent cohort,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pPr>
        <w:spacing w:after="120" w:line="480"/>
      </w:pPr>
      <w:r>
        <w:rPr>
          <w:rFonts w:ascii="Times New Roman" w:cs="Times New Roman" w:eastAsia="Times New Roman" w:hAnsi="Times New Roman"/>
        </w:rPr>
        <w:t xml:space="preserve">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Ensembl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lncRNAs differently [11]. Validating a lncRNA signature therefore needs a cohort profiled with a technology and annotation that measure its genes, which most public LUAD cohorts do not provide.</w:t>
      </w:r>
    </w:p>
    <w:p>
      <w:pPr>
        <w:spacing w:after="120" w:line="480"/>
      </w:pPr>
      <w:r>
        <w:rPr>
          <w:rFonts w:ascii="Times New Roman" w:cs="Times New Roman" w:eastAsia="Times New Roman" w:hAnsi="Times New Roman"/>
        </w:rP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signatures, which conceals overlap between signatures. Reporting Ensembl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pPr>
        <w:spacing w:after="120" w:line="480"/>
      </w:pPr>
      <w:r>
        <w:rPr>
          <w:rFonts w:ascii="Times New Roman" w:cs="Times New Roman" w:eastAsia="Times New Roman" w:hAnsi="Times New Roman"/>
        </w:rPr>
        <w:t xml:space="preserve">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pPr>
        <w:pStyle w:val="Heading2"/>
        <w:spacing w:after="120" w:before="240"/>
      </w:pPr>
      <w:r>
        <w:t xml:space="preserve">Strengths and limitations</w:t>
      </w:r>
    </w:p>
    <w:p>
      <w:pPr>
        <w:spacing w:after="120" w:line="480"/>
      </w:pPr>
      <w:r>
        <w:rPr>
          <w:rFonts w:ascii="Times New Roman" w:cs="Times New Roman" w:eastAsia="Times New Roman" w:hAnsi="Times New Roman"/>
        </w:rPr>
        <w:t xml:space="preserve">Strengths of this study include pre-registration with documented updates filed before the analyses, independent double extraction of coefficients, a pipeline rebuilt from raw public data with unit tests, gene matching by Ensembl identifier with a documented identifier history, explicit checks of cohort independence, comparison against expression-matched random gene sets, and sensitivity analyses that did not change the conclusions.</w:t>
      </w:r>
    </w:p>
    <w:p>
      <w:pPr>
        <w:spacing w:after="120" w:line="480"/>
      </w:pPr>
      <w:r>
        <w:rPr>
          <w:rFonts w:ascii="Times New Roman" w:cs="Times New Roman" w:eastAsia="Times New Roman" w:hAnsi="Times New Roman"/>
        </w:rP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was added after the results were seen. Third, an earlier version of the analysis had been run on part of the data before the code errors were found; the results that had been seen are listed in Update 3, and the v2 analyses followed the registered rules. Fourth, all 15 signatures were developed in TCGA-LUAD, so pooled estimates are exploratory, and the signatures studied are those that reported full coefficients,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pPr>
        <w:pStyle w:val="Heading2"/>
        <w:spacing w:after="120" w:before="240"/>
      </w:pPr>
      <w:r>
        <w:t xml:space="preserve">Conclusions</w:t>
      </w:r>
    </w:p>
    <w:p>
      <w:pPr>
        <w:spacing w:after="120" w:line="480"/>
      </w:pPr>
      <w:r>
        <w:rPr>
          <w:rFonts w:ascii="Times New Roman" w:cs="Times New Roman" w:eastAsia="Times New Roman" w:hAnsi="Times New Roman"/>
        </w:rPr>
        <w:t xml:space="preserve">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lncRNAs with current annotations and record enough deaths. Stable gene identifiers, explicit expression scales and comparison with random gene sets should become standard in this literature.</w:t>
      </w:r>
    </w:p>
    <w:p>
      <w:pPr>
        <w:pStyle w:val="Heading1"/>
        <w:spacing w:after="120" w:before="360"/>
      </w:pPr>
      <w:r>
        <w:t xml:space="preserve">Declarations</w:t>
      </w:r>
    </w:p>
    <w:p>
      <w:pPr>
        <w:spacing w:after="120" w:line="480"/>
      </w:pPr>
      <w:r>
        <w:rPr>
          <w:rFonts w:ascii="Times New Roman" w:cs="Times New Roman" w:eastAsia="Times New Roman" w:hAnsi="Times New Roman"/>
          <w:b/>
          <w:bCs/>
        </w:rPr>
        <w:t xml:space="preserve">Ethics approval and consent to participate.</w:t>
      </w:r>
      <w:r>
        <w:rPr>
          <w:rFonts w:ascii="Times New Roman" w:cs="Times New Roman" w:eastAsia="Times New Roman" w:hAnsi="Times New Roman"/>
        </w:rPr>
        <w:t xml:space="preserve"> Not applicable: the study used publicly available, de-identified data.</w:t>
      </w:r>
    </w:p>
    <w:p>
      <w:pPr>
        <w:spacing w:after="120" w:line="480"/>
      </w:pPr>
      <w:r>
        <w:rPr>
          <w:rFonts w:ascii="Times New Roman" w:cs="Times New Roman" w:eastAsia="Times New Roman" w:hAnsi="Times New Roman"/>
          <w:b/>
          <w:bCs/>
        </w:rPr>
        <w:t xml:space="preserve">Data availability.</w:t>
      </w:r>
      <w:r>
        <w:rPr>
          <w:rFonts w:ascii="Times New Roman" w:cs="Times New Roman" w:eastAsia="Times New Roman" w:hAnsi="Times New Roman"/>
        </w:rPr>
        <w:t xml:space="preserve"> All data are public: TCGA-LUAD and CPTAC-3 from the NCI Genomic Data Commons (Data Release 46.0); GSE31210, GSE50081, GSE30219, GSE81089 and GSE72094 from the Gene Expression Omnibus. Derived tables are provided as supplementary material.</w:t>
      </w:r>
    </w:p>
    <w:p>
      <w:pPr>
        <w:spacing w:after="120" w:line="480"/>
      </w:pPr>
      <w:r>
        <w:rPr>
          <w:rFonts w:ascii="Times New Roman" w:cs="Times New Roman" w:eastAsia="Times New Roman" w:hAnsi="Times New Roman"/>
          <w:b/>
          <w:bCs/>
        </w:rPr>
        <w:t xml:space="preserve">Code availability.</w:t>
      </w:r>
      <w:r>
        <w:rPr>
          <w:rFonts w:ascii="Times New Roman" w:cs="Times New Roman" w:eastAsia="Times New Roman" w:hAnsi="Times New Roman"/>
        </w:rPr>
        <w:t xml:space="preserve"> The analysis code, gene mappings, unit tests and deviations log will be released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 on publication; the registration and its updates are at osf.io/qckvr.</w:t>
      </w:r>
    </w:p>
    <w:p>
      <w:pPr>
        <w:spacing w:after="120" w:line="480"/>
      </w:pPr>
      <w:r>
        <w:rPr>
          <w:rFonts w:ascii="Times New Roman" w:cs="Times New Roman" w:eastAsia="Times New Roman" w:hAnsi="Times New Roman"/>
          <w:b/>
          <w:bCs/>
        </w:rPr>
        <w:t xml:space="preserve">Competing interests.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[The authors declare no competing interests.]</w:t>
      </w:r>
    </w:p>
    <w:p>
      <w:pPr>
        <w:spacing w:after="120" w:line="480"/>
      </w:pP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[Funding sources, or "None".]</w:t>
      </w:r>
    </w:p>
    <w:p>
      <w:pPr>
        <w:spacing w:after="120" w:line="480"/>
      </w:pPr>
      <w:r>
        <w:rPr>
          <w:rFonts w:ascii="Times New Roman" w:cs="Times New Roman" w:eastAsia="Times New Roman" w:hAnsi="Times New Roman"/>
          <w:b/>
          <w:bCs/>
        </w:rPr>
        <w:t xml:space="preserve">Author contributions.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[CRediT roles for each author.]</w:t>
      </w:r>
    </w:p>
    <w:p>
      <w:pPr>
        <w:spacing w:after="120" w:line="480"/>
      </w:pPr>
      <w:r>
        <w:rPr>
          <w:rFonts w:ascii="Times New Roman" w:cs="Times New Roman" w:eastAsia="Times New Roman" w:hAnsi="Times New Roman"/>
          <w:b/>
          <w:bCs/>
        </w:rPr>
        <w:t xml:space="preserve">Acknowledgements.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[Acknowledgements.]</w:t>
      </w:r>
    </w:p>
    <w:p>
      <w:pPr>
        <w:pStyle w:val="Heading1"/>
        <w:spacing w:after="120" w:before="360"/>
      </w:pPr>
      <w:r>
        <w:t xml:space="preserve">References</w:t>
      </w:r>
    </w:p>
    <w:p>
      <w:pPr>
        <w:spacing w:after="80" w:line="360"/>
        <w:ind w:left="440" w:hanging="440"/>
      </w:pPr>
      <w:r>
        <w:rPr>
          <w:rFonts w:ascii="Times New Roman" w:cs="Times New Roman" w:eastAsia="Times New Roman" w:hAnsi="Times New Roman"/>
        </w:rPr>
        <w:t xml:space="preserve">1. Bray F, Laversanne M, Sung H, Ferlay J, Siegel RL, Soerjomataram I, et al. Global cancer statistics 2022: GLOBOCAN estimates of incidence and mortality worldwide for 36 cancers in 185 countries. CA Cancer J Clin. 2024;74(3):229-263. doi:10.3322/caac.21834</w:t>
      </w:r>
    </w:p>
    <w:p>
      <w:pPr>
        <w:spacing w:after="80" w:line="360"/>
        <w:ind w:left="440" w:hanging="440"/>
      </w:pPr>
      <w:r>
        <w:rPr>
          <w:rFonts w:ascii="Times New Roman" w:cs="Times New Roman" w:eastAsia="Times New Roman" w:hAnsi="Times New Roman"/>
        </w:rPr>
        <w:t xml:space="preserve">2. Cancer Genome Atlas Research Network. Comprehensive molecular profiling of lung adenocarcinoma. Nature. 2014;511(7511):543-50. doi:10.1038/nature13385</w:t>
      </w:r>
    </w:p>
    <w:p>
      <w:pPr>
        <w:spacing w:after="80" w:line="360"/>
        <w:ind w:left="440" w:hanging="440"/>
      </w:pPr>
      <w:r>
        <w:rPr>
          <w:rFonts w:ascii="Times New Roman" w:cs="Times New Roman" w:eastAsia="Times New Roman" w:hAnsi="Times New Roman"/>
        </w:rPr>
        <w:t xml:space="preserve">3. Statello L, Guo CJ, Chen LL, Huarte M. Gene regulation by long non-coding RNAs and its biological functions. Nat Rev Mol Cell Biol. 2021;22(2):96-118. doi:10.1038/s41580-020-00315-9</w:t>
      </w:r>
    </w:p>
    <w:p>
      <w:pPr>
        <w:spacing w:after="80" w:line="360"/>
        <w:ind w:left="440" w:hanging="440"/>
      </w:pPr>
      <w:r>
        <w:rPr>
          <w:rFonts w:ascii="Times New Roman" w:cs="Times New Roman" w:eastAsia="Times New Roman" w:hAnsi="Times New Roman"/>
        </w:rPr>
        <w:t xml:space="preserve">4. Du Z, Fei T, Verhaak RG, Su Z, Zhang Y, Brown M, et al. Integrative genomic analyses reveal clinically relevant long noncoding RNAs in human cancer. Nat Struct Mol Biol. 2013;20(7):908-13. doi:10.1038/nsmb.2591</w:t>
      </w:r>
    </w:p>
    <w:p>
      <w:pPr>
        <w:spacing w:after="80" w:line="360"/>
        <w:ind w:left="440" w:hanging="440"/>
      </w:pPr>
      <w:r>
        <w:rPr>
          <w:rFonts w:ascii="Times New Roman" w:cs="Times New Roman" w:eastAsia="Times New Roman" w:hAnsi="Times New Roman"/>
        </w:rPr>
        <w:t xml:space="preserve">5. Venet D, Dumont JE, Detours V. Most random gene expression signatures are significantly associated with breast cancer outcome. PLoS Comput Biol. 2011;7(10):e1002240. doi:10.1371/journal.pcbi.1002240</w:t>
      </w:r>
    </w:p>
    <w:p>
      <w:pPr>
        <w:spacing w:after="80" w:line="360"/>
        <w:ind w:left="440" w:hanging="440"/>
      </w:pPr>
      <w:r>
        <w:rPr>
          <w:rFonts w:ascii="Times New Roman" w:cs="Times New Roman" w:eastAsia="Times New Roman" w:hAnsi="Times New Roman"/>
        </w:rPr>
        <w:t xml:space="preserve">6. Michiels S, Koscielny S, Hill C. Prediction of cancer outcome with microarrays: a multiple random validation strategy. Lancet. 2005;365(9458):488-92. doi:10.1016/S0140-6736(05)17866-0</w:t>
      </w:r>
    </w:p>
    <w:p>
      <w:pPr>
        <w:spacing w:after="80" w:line="360"/>
        <w:ind w:left="440" w:hanging="440"/>
      </w:pPr>
      <w:r>
        <w:rPr>
          <w:rFonts w:ascii="Times New Roman" w:cs="Times New Roman" w:eastAsia="Times New Roman" w:hAnsi="Times New Roman"/>
        </w:rPr>
        <w:t xml:space="preserve">7. Collins GS, Ogundimu EO, Altman DG. Sample size considerations for the external validation of a multivariable prognostic model: a resampling study. Stat Med. 2016;35(2):214-26. doi:10.1002/sim.6787</w:t>
      </w:r>
    </w:p>
    <w:p>
      <w:pPr>
        <w:spacing w:after="80" w:line="360"/>
        <w:ind w:left="440" w:hanging="440"/>
      </w:pPr>
      <w:r>
        <w:rPr>
          <w:rFonts w:ascii="Times New Roman" w:cs="Times New Roman" w:eastAsia="Times New Roman" w:hAnsi="Times New Roman"/>
        </w:rPr>
        <w:t xml:space="preserve">8. Riley RD, Collins GS, Ensor J, Archer L, Booth S, Mozumder SI, et al. Minimum sample size calculations for external validation of a clinical prediction model with a time-to-event outcome. Stat Med. 2022;41(7):1280-1295. doi:10.1002/sim.9275</w:t>
      </w:r>
    </w:p>
    <w:p>
      <w:pPr>
        <w:spacing w:after="80" w:line="360"/>
        <w:ind w:left="440" w:hanging="440"/>
      </w:pPr>
      <w:r>
        <w:rPr>
          <w:rFonts w:ascii="Times New Roman" w:cs="Times New Roman" w:eastAsia="Times New Roman" w:hAnsi="Times New Roman"/>
        </w:rPr>
        <w:t xml:space="preserve">9. McShane LM, Altman DG, Sauerbrei W, Taube SE, Gion M, Clark GM. Reporting recommendations for tumor marker prognostic studies (REMARK). J Natl Cancer Inst. 2005;97(16):1180-4. doi:10.1093/jnci/dji237</w:t>
      </w:r>
    </w:p>
    <w:p>
      <w:pPr>
        <w:spacing w:after="80" w:line="360"/>
        <w:ind w:left="440" w:hanging="440"/>
      </w:pPr>
      <w:r>
        <w:rPr>
          <w:rFonts w:ascii="Times New Roman" w:cs="Times New Roman" w:eastAsia="Times New Roman" w:hAnsi="Times New Roman"/>
        </w:rPr>
        <w:t xml:space="preserve">10. Collins GS, Moons KGM, Dhiman P, Riley RD, Beam AL, Van Calster B, et al. TRIPOD+AI statement: updated guidance for reporting clinical prediction models that use regression or machine learning methods. BMJ. 2024;385:e078378. doi:10.1136/bmj-2023-078378</w:t>
      </w:r>
    </w:p>
    <w:p>
      <w:pPr>
        <w:spacing w:after="80" w:line="360"/>
        <w:ind w:left="440" w:hanging="440"/>
      </w:pPr>
      <w:r>
        <w:rPr>
          <w:rFonts w:ascii="Times New Roman" w:cs="Times New Roman" w:eastAsia="Times New Roman" w:hAnsi="Times New Roman"/>
        </w:rPr>
        <w:t xml:space="preserve">11. Zhao W, He X, Hoadley KA, Parker JS, Hayes DN, Perou CM. Comparison of RNA-Seq by poly (A) capture, ribosomal RNA depletion, and DNA microarray for expression profiling. BMC Genomics. 2014;15(1):419. doi:10.1186/1471-2164-15-419</w:t>
      </w:r>
    </w:p>
    <w:p>
      <w:pPr>
        <w:spacing w:after="80" w:line="360"/>
        <w:ind w:left="440" w:hanging="440"/>
      </w:pPr>
      <w:r>
        <w:rPr>
          <w:rFonts w:ascii="Times New Roman" w:cs="Times New Roman" w:eastAsia="Times New Roman" w:hAnsi="Times New Roman"/>
        </w:rPr>
        <w:t xml:space="preserve">12. Frankish A, Diekhans M, Jungreis I, Lagarde J, Loveland JE, Mudge JM, et al. GENCODE 2021. Nucleic Acids Res. 2021;49(D1):D916-D923. doi:10.1093/nar/gkaa1087</w:t>
      </w:r>
    </w:p>
    <w:p>
      <w:pPr>
        <w:spacing w:after="80" w:line="360"/>
        <w:ind w:left="440" w:hanging="440"/>
      </w:pPr>
      <w:r>
        <w:rPr>
          <w:rFonts w:ascii="Times New Roman" w:cs="Times New Roman" w:eastAsia="Times New Roman" w:hAnsi="Times New Roman"/>
        </w:rPr>
        <w:t xml:space="preserve">13. Harrison PW, Amode MR, Austine-Orimoloye O, Azov AG, Barba M, Barnes I, et al. Ensembl 2024. Nucleic Acids Res. 2024;52(D1):D891-D899. doi:10.1093/nar/gkad1049</w:t>
      </w:r>
    </w:p>
    <w:p>
      <w:pPr>
        <w:spacing w:after="80" w:line="360"/>
        <w:ind w:left="440" w:hanging="440"/>
      </w:pPr>
      <w:r>
        <w:rPr>
          <w:rFonts w:ascii="Times New Roman" w:cs="Times New Roman" w:eastAsia="Times New Roman" w:hAnsi="Times New Roman"/>
        </w:rPr>
        <w:t xml:space="preserve">14. Altman DG, McShane LM, Sauerbrei W, Taube SE. Reporting Recommendations for Tumor Marker Prognostic Studies (REMARK): explanation and elaboration. PLoS Med. 2012;9(5):e1001216. doi:10.1371/journal.pmed.1001216</w:t>
      </w:r>
    </w:p>
    <w:p>
      <w:pPr>
        <w:spacing w:after="80" w:line="360"/>
        <w:ind w:left="440" w:hanging="440"/>
      </w:pPr>
      <w:r>
        <w:rPr>
          <w:rFonts w:ascii="Times New Roman" w:cs="Times New Roman" w:eastAsia="Times New Roman" w:hAnsi="Times New Roman"/>
        </w:rPr>
        <w:t xml:space="preserve">15. Yang Z, Cao S, Wang F, Du K, Hu F. Characterization and Prognosis of Biological Microenvironment in Lung Adenocarcinoma through a Disulfidptosis-Related lncRNAs Signature. Genet Res (Camb). 2023;2023:6670514. doi:10.1155/2023/6670514</w:t>
      </w:r>
    </w:p>
    <w:p>
      <w:pPr>
        <w:spacing w:after="80" w:line="360"/>
        <w:ind w:left="440" w:hanging="440"/>
      </w:pPr>
      <w:r>
        <w:rPr>
          <w:rFonts w:ascii="Times New Roman" w:cs="Times New Roman" w:eastAsia="Times New Roman" w:hAnsi="Times New Roman"/>
        </w:rPr>
        <w:t xml:space="preserve">16. Diao X, Guo C, Li S. Construction of a Novel Prognostic Signature in Lung Adenocarcinoma Based on Necroptosis-Related lncRNAs. Front Genet. 2022;13:833362. doi:10.3389/fgene.2022.833362</w:t>
      </w:r>
    </w:p>
    <w:p>
      <w:pPr>
        <w:spacing w:after="80" w:line="360"/>
        <w:ind w:left="440" w:hanging="440"/>
      </w:pPr>
      <w:r>
        <w:rPr>
          <w:rFonts w:ascii="Times New Roman" w:cs="Times New Roman" w:eastAsia="Times New Roman" w:hAnsi="Times New Roman"/>
        </w:rPr>
        <w:t xml:space="preserve">17. He C, Yin H, Zheng J, Tang J, Fu Y, Zhao X. Identification of immune-associated lncRNAs as a prognostic marker for lung adenocarcinoma. Transl Cancer Res. 2021;10(2):998-1012. doi:10.21037/tcr-20-2827</w:t>
      </w:r>
    </w:p>
    <w:p>
      <w:pPr>
        <w:spacing w:after="80" w:line="360"/>
        <w:ind w:left="440" w:hanging="440"/>
      </w:pPr>
      <w:r>
        <w:rPr>
          <w:rFonts w:ascii="Times New Roman" w:cs="Times New Roman" w:eastAsia="Times New Roman" w:hAnsi="Times New Roman"/>
        </w:rPr>
        <w:t xml:space="preserve">18. Jin D, Song Y, Chen Y, Zhang P. Identification of a Seven-lncRNA Immune Risk Signature and Construction of a Predictive Nomogram for Lung Adenocarcinoma. Biomed Res Int. 2020;2020:7929132. doi:10.1155/2020/7929132</w:t>
      </w:r>
    </w:p>
    <w:p>
      <w:pPr>
        <w:spacing w:after="80" w:line="360"/>
        <w:ind w:left="440" w:hanging="440"/>
      </w:pPr>
      <w:r>
        <w:rPr>
          <w:rFonts w:ascii="Times New Roman" w:cs="Times New Roman" w:eastAsia="Times New Roman" w:hAnsi="Times New Roman"/>
        </w:rPr>
        <w:t xml:space="preserve">19. Geng W, Lv Z, Fan J, Xu J, Mao K, Yin Z, et al. Identification of the Prognostic Significance of Somatic Mutation-Derived LncRNA Signatures of Genomic Instability in Lung Adenocarcinoma. Front Cell Dev Biol. 2021;9:657667. doi:10.3389/fcell.2021.657667</w:t>
      </w:r>
    </w:p>
    <w:p>
      <w:pPr>
        <w:spacing w:after="80" w:line="360"/>
        <w:ind w:left="440" w:hanging="440"/>
      </w:pPr>
      <w:r>
        <w:rPr>
          <w:rFonts w:ascii="Times New Roman" w:cs="Times New Roman" w:eastAsia="Times New Roman" w:hAnsi="Times New Roman"/>
        </w:rPr>
        <w:t xml:space="preserve">20. Zheng Z, Zhang Q, Wu W, Xue Y, Liu S, Chen Q, et al. Identification and Validation of a Ferroptosis-Related Long Non-coding RNA Signature for Predicting the Outcome of Lung Adenocarcinoma. Front Genet. 2021;12:690509. doi:10.3389/fgene.2021.690509</w:t>
      </w:r>
    </w:p>
    <w:p>
      <w:pPr>
        <w:spacing w:after="80" w:line="360"/>
        <w:ind w:left="440" w:hanging="440"/>
      </w:pPr>
      <w:r>
        <w:rPr>
          <w:rFonts w:ascii="Times New Roman" w:cs="Times New Roman" w:eastAsia="Times New Roman" w:hAnsi="Times New Roman"/>
        </w:rPr>
        <w:t xml:space="preserve">21. Li L, Cai Q, Wu Z, Li X, Zhou W, Lu L, et al. Bioinformatics construction and experimental validation of a cuproptosis-related lncRNA prognostic model in lung adenocarcinoma for immunotherapy response prediction. Sci Rep. 2023;13(1):2455. doi:10.1038/s41598-023-29684-9</w:t>
      </w:r>
    </w:p>
    <w:p>
      <w:pPr>
        <w:spacing w:after="80" w:line="360"/>
        <w:ind w:left="440" w:hanging="440"/>
      </w:pPr>
      <w:r>
        <w:rPr>
          <w:rFonts w:ascii="Times New Roman" w:cs="Times New Roman" w:eastAsia="Times New Roman" w:hAnsi="Times New Roman"/>
        </w:rPr>
        <w:t xml:space="preserve">22. Yu L, Zhou S, Hong W, Lin N, Wang Q, Liang P. Characterization of an endoplasmic reticulum stress-associated lncRNA prognostic signature and the tumor-suppressive role of RP11-295G20.2 knockdown in lung adenocarcinoma. Sci Rep. 2024;14(1):12283. doi:10.1038/s41598-024-62836-z</w:t>
      </w:r>
    </w:p>
    <w:p>
      <w:pPr>
        <w:spacing w:after="80" w:line="360"/>
        <w:ind w:left="440" w:hanging="440"/>
      </w:pPr>
      <w:r>
        <w:rPr>
          <w:rFonts w:ascii="Times New Roman" w:cs="Times New Roman" w:eastAsia="Times New Roman" w:hAnsi="Times New Roman"/>
        </w:rPr>
        <w:t xml:space="preserve">23. Zhang G, Liu C, Wang Y. Development of a Prognostic m6A-Related lncRNA Signature and Functional Validation of FAM83A-AS1 in Lung Adenocarcinoma. Onco Targets Ther. 2025;18:1107-1123. doi:10.2147/OTT.S538953</w:t>
      </w:r>
    </w:p>
    <w:p>
      <w:pPr>
        <w:spacing w:after="80" w:line="360"/>
        <w:ind w:left="440" w:hanging="440"/>
      </w:pPr>
      <w:r>
        <w:rPr>
          <w:rFonts w:ascii="Times New Roman" w:cs="Times New Roman" w:eastAsia="Times New Roman" w:hAnsi="Times New Roman"/>
        </w:rPr>
        <w:t xml:space="preserve">24. Wu J, Song D, Zhao G, Chen S, Ren H, Zhang B. Cross-talk between necroptosis-related lncRNAs to construct a novel signature and predict the immune landscape of lung adenocarcinoma patients. Front Genet. 2022;13:966896. doi:10.3389/fgene.2022.966896</w:t>
      </w:r>
    </w:p>
    <w:p>
      <w:pPr>
        <w:spacing w:after="80" w:line="360"/>
        <w:ind w:left="440" w:hanging="440"/>
      </w:pPr>
      <w:r>
        <w:rPr>
          <w:rFonts w:ascii="Times New Roman" w:cs="Times New Roman" w:eastAsia="Times New Roman" w:hAnsi="Times New Roman"/>
        </w:rPr>
        <w:t xml:space="preserve">25. Song J, Sun Y, Cao H, Liu Z, Xi L, Dong C, et al. A novel pyroptosis-related lncRNA signature for prognostic prediction in patients with lung adenocarcinoma. Bioengineered. 2021;12(1):5932-5949. doi:10.1080/21655979.2021.1972078</w:t>
      </w:r>
    </w:p>
    <w:p>
      <w:pPr>
        <w:spacing w:after="80" w:line="360"/>
        <w:ind w:left="440" w:hanging="440"/>
      </w:pPr>
      <w:r>
        <w:rPr>
          <w:rFonts w:ascii="Times New Roman" w:cs="Times New Roman" w:eastAsia="Times New Roman" w:hAnsi="Times New Roman"/>
        </w:rPr>
        <w:t xml:space="preserve">26. Yang L, Guo G, Yu X, Wen Y, Lin Y, Zhang R, et al. Mutation-Derived Long Noncoding RNA Signature Predicts Survival in Lung Adenocarcinoma. Front Oncol. 2022;12:780631. doi:10.3389/fonc.2022.780631</w:t>
      </w:r>
    </w:p>
    <w:p>
      <w:pPr>
        <w:spacing w:after="80" w:line="360"/>
        <w:ind w:left="440" w:hanging="440"/>
      </w:pPr>
      <w:r>
        <w:rPr>
          <w:rFonts w:ascii="Times New Roman" w:cs="Times New Roman" w:eastAsia="Times New Roman" w:hAnsi="Times New Roman"/>
        </w:rPr>
        <w:t xml:space="preserve">27. Yao J, Chen X, Liu X, Li R, Zhou X, Qu Y. Characterization of a ferroptosis and iron-metabolism related lncRNA signature in lung adenocarcinoma. Cancer Cell Int. 2021;21(1):340. doi:10.1186/s12935-021-02027-2</w:t>
      </w:r>
    </w:p>
    <w:p>
      <w:pPr>
        <w:spacing w:after="80" w:line="360"/>
        <w:ind w:left="440" w:hanging="440"/>
      </w:pPr>
      <w:r>
        <w:rPr>
          <w:rFonts w:ascii="Times New Roman" w:cs="Times New Roman" w:eastAsia="Times New Roman" w:hAnsi="Times New Roman"/>
        </w:rPr>
        <w:t xml:space="preserve">28. Lin C, Lin K, Li P, Yuan H, Lin X, Dai Y, et al. A genomic instability-associated lncRNA signature for predicting prognosis and biomarkers in lung adenocarcinoma. Sci Rep. 2024;14(1):14460. doi:10.1038/s41598-024-65327-3</w:t>
      </w:r>
    </w:p>
    <w:p>
      <w:pPr>
        <w:spacing w:after="80" w:line="360"/>
        <w:ind w:left="440" w:hanging="440"/>
      </w:pPr>
      <w:r>
        <w:rPr>
          <w:rFonts w:ascii="Times New Roman" w:cs="Times New Roman" w:eastAsia="Times New Roman" w:hAnsi="Times New Roman"/>
        </w:rPr>
        <w:t xml:space="preserve">29. Zhang Z, Yang L, Li Y, Wu Y, Li X, Wu X. Four long noncoding RNAs act as biomarkers in lung adenocarcinoma. Open Med (Wars). 2021;16(1):660-671. doi:10.1515/med-2021-0276</w:t>
      </w:r>
    </w:p>
    <w:p>
      <w:pPr>
        <w:spacing w:after="80" w:line="360"/>
        <w:ind w:left="440" w:hanging="440"/>
      </w:pPr>
      <w:r>
        <w:rPr>
          <w:rFonts w:ascii="Times New Roman" w:cs="Times New Roman" w:eastAsia="Times New Roman" w:hAnsi="Times New Roman"/>
        </w:rPr>
        <w:t xml:space="preserve">30. Gillette MA, Satpathy S, Cao S, Dhanasekaran SM, Vasaikar SV, Krug K, et al. Proteogenomic Characterization Reveals Therapeutic Vulnerabilities in Lung Adenocarcinoma. Cell. 2020;182(1):200-225.e35. doi:10.1016/j.cell.2020.06.013</w:t>
      </w:r>
    </w:p>
    <w:p>
      <w:pPr>
        <w:spacing w:after="80" w:line="360"/>
        <w:ind w:left="440" w:hanging="440"/>
      </w:pPr>
      <w:r>
        <w:rPr>
          <w:rFonts w:ascii="Times New Roman" w:cs="Times New Roman" w:eastAsia="Times New Roman" w:hAnsi="Times New Roman"/>
        </w:rPr>
        <w:t xml:space="preserve">31. Okayama H, Kohno T, Ishii Y, Shimada Y, Shiraishi K, Iwakawa R, et al. Identification of genes upregulated in ALK-positive and EGFR/KRAS/ALK-negative lung adenocarcinomas. Cancer Res. 2012;72(1):100-11. doi:10.1158/0008-5472.CAN-11-1403</w:t>
      </w:r>
    </w:p>
    <w:p>
      <w:pPr>
        <w:spacing w:after="80" w:line="360"/>
        <w:ind w:left="440" w:hanging="440"/>
      </w:pPr>
      <w:r>
        <w:rPr>
          <w:rFonts w:ascii="Times New Roman" w:cs="Times New Roman" w:eastAsia="Times New Roman" w:hAnsi="Times New Roman"/>
        </w:rPr>
        <w:t xml:space="preserve">32. Der SD, Sykes J, Pintilie M, Zhu CQ, Strumpf D, Liu N, et al. Validation of a histology-independent prognostic gene signature for early-stage, non-small-cell lung cancer including stage IA patients. J Thorac Oncol. 2014;9(1):59-64. doi:10.1097/JTO.0000000000000042</w:t>
      </w:r>
    </w:p>
    <w:p>
      <w:pPr>
        <w:spacing w:after="80" w:line="360"/>
        <w:ind w:left="440" w:hanging="440"/>
      </w:pPr>
      <w:r>
        <w:rPr>
          <w:rFonts w:ascii="Times New Roman" w:cs="Times New Roman" w:eastAsia="Times New Roman" w:hAnsi="Times New Roman"/>
        </w:rPr>
        <w:t xml:space="preserve">33. Rousseaux S, Debernardi A, Jacquiau B, Vitte AL, Vesin A, Nagy-Mignotte H, et al. Ectopic activation of germline and placental genes identifies aggressive metastasis-prone lung cancers. Sci Transl Med. 2013;5(186):186ra66. doi:10.1126/scitranslmed.3005723</w:t>
      </w:r>
    </w:p>
    <w:p>
      <w:pPr>
        <w:spacing w:after="80" w:line="360"/>
        <w:ind w:left="440" w:hanging="440"/>
      </w:pPr>
      <w:r>
        <w:rPr>
          <w:rFonts w:ascii="Times New Roman" w:cs="Times New Roman" w:eastAsia="Times New Roman" w:hAnsi="Times New Roman"/>
        </w:rPr>
        <w:t xml:space="preserve">34. Djureinovic D, Hallström BM, Horie M, Mattsson JSM, La Fleur L, Fagerberg L, et al. Profiling cancer testis antigens in non-small-cell lung cancer. JCI Insight. 2016;1(10):e86837. doi:10.1172/jci.insight.86837</w:t>
      </w:r>
    </w:p>
    <w:p>
      <w:pPr>
        <w:spacing w:after="80" w:line="360"/>
        <w:ind w:left="440" w:hanging="440"/>
      </w:pPr>
      <w:r>
        <w:rPr>
          <w:rFonts w:ascii="Times New Roman" w:cs="Times New Roman" w:eastAsia="Times New Roman" w:hAnsi="Times New Roman"/>
        </w:rPr>
        <w:t xml:space="preserve">35. Schabath MB, Welsh EA, Fulp WJ, Chen L, Teer JK, Thompson ZJ, et al. Differential association of STK11 and TP53 with KRAS mutation-associated gene expression, proliferation and immune surveillance in lung adenocarcinoma. Oncogene. 2016;35(24):3209-16. doi:10.1038/onc.2015.375</w:t>
      </w:r>
    </w:p>
    <w:p>
      <w:pPr>
        <w:spacing w:after="80" w:line="360"/>
        <w:ind w:left="440" w:hanging="440"/>
      </w:pPr>
      <w:r>
        <w:rPr>
          <w:rFonts w:ascii="Times New Roman" w:cs="Times New Roman" w:eastAsia="Times New Roman" w:hAnsi="Times New Roman"/>
        </w:rPr>
        <w:t xml:space="preserve">36. Colaprico A, Silva TC, Olsen C, Garofano L, Cava C, Garolini D, et al. TCGAbiolinks: an R/Bioconductor package for integrative analysis of TCGA data. Nucleic Acids Res. 2016;44(8):e71. doi:10.1093/nar/gkv1507</w:t>
      </w:r>
    </w:p>
    <w:p>
      <w:pPr>
        <w:spacing w:after="80" w:line="360"/>
        <w:ind w:left="440" w:hanging="440"/>
      </w:pPr>
      <w:r>
        <w:rPr>
          <w:rFonts w:ascii="Times New Roman" w:cs="Times New Roman" w:eastAsia="Times New Roman" w:hAnsi="Times New Roman"/>
        </w:rPr>
        <w:t xml:space="preserve">37. Irizarry RA, Hobbs B, Collin F, Beazer-Barclay YD, Antonellis KJ, Scherf U, et al. Exploration, normalization, and summaries of high density oligonucleotide array probe level data. Biostatistics. 2003;4(2):249-64. doi:10.1093/biostatistics/4.2.249</w:t>
      </w:r>
    </w:p>
    <w:p>
      <w:pPr>
        <w:spacing w:after="80" w:line="360"/>
        <w:ind w:left="440" w:hanging="440"/>
      </w:pPr>
      <w:r>
        <w:rPr>
          <w:rFonts w:ascii="Times New Roman" w:cs="Times New Roman" w:eastAsia="Times New Roman" w:hAnsi="Times New Roman"/>
        </w:rPr>
        <w:t xml:space="preserve">38. Davis S, Meltzer PS. GEOquery: a bridge between the Gene Expression Omnibus (GEO) and BioConductor. Bioinformatics. 2007;23(14):1846-7. doi:10.1093/bioinformatics/btm254</w:t>
      </w:r>
    </w:p>
    <w:p>
      <w:pPr>
        <w:spacing w:after="80" w:line="360"/>
        <w:ind w:left="440" w:hanging="440"/>
      </w:pPr>
      <w:r>
        <w:rPr>
          <w:rFonts w:ascii="Times New Roman" w:cs="Times New Roman" w:eastAsia="Times New Roman" w:hAnsi="Times New Roman"/>
        </w:rPr>
        <w:t xml:space="preserve">39. Harrell FE, Lee KL, Mark DB. Multivariable prognostic models: issues in developing models, evaluating assumptions and adequacy, and measuring and reducing errors. Stat Med. 1996;15(4):361-87. doi:10.1002/(SICI)1097-0258(19960229)15:4&lt;361::AID-SIM168&gt;3.0.CO;2-4</w:t>
      </w:r>
    </w:p>
    <w:p>
      <w:pPr>
        <w:spacing w:after="80" w:line="360"/>
        <w:ind w:left="440" w:hanging="440"/>
      </w:pPr>
      <w:r>
        <w:rPr>
          <w:rFonts w:ascii="Times New Roman" w:cs="Times New Roman" w:eastAsia="Times New Roman" w:hAnsi="Times New Roman"/>
        </w:rPr>
        <w:t xml:space="preserve">40. Holm S. A simple sequentially rejective multiple test procedure. Scand J Stat. 1979;6(2):65-70.</w:t>
      </w:r>
    </w:p>
    <w:p>
      <w:pPr>
        <w:spacing w:after="80" w:line="360"/>
        <w:ind w:left="440" w:hanging="440"/>
      </w:pPr>
      <w:r>
        <w:rPr>
          <w:rFonts w:ascii="Times New Roman" w:cs="Times New Roman" w:eastAsia="Times New Roman" w:hAnsi="Times New Roman"/>
        </w:rPr>
        <w:t xml:space="preserve">41. Uno H, Cai T, Pencina MJ, D'Agostino RB, Wei LJ. On the C-statistics for evaluating overall adequacy of risk prediction procedures with censored survival data. Stat Med. 2011;30(10):1105-17. doi:10.1002/sim.4154</w:t>
      </w:r>
    </w:p>
    <w:p>
      <w:pPr>
        <w:spacing w:after="80" w:line="360"/>
        <w:ind w:left="440" w:hanging="440"/>
      </w:pPr>
      <w:r>
        <w:rPr>
          <w:rFonts w:ascii="Times New Roman" w:cs="Times New Roman" w:eastAsia="Times New Roman" w:hAnsi="Times New Roman"/>
        </w:rPr>
        <w:t xml:space="preserve">42. Uno H, Cai T, Tian L, Wei LJ. Evaluating prediction rules for t-year survivors with censored regression models. J Am Stat Assoc. 2007;102(478):527-37. doi:10.1198/016214507000000149</w:t>
      </w:r>
    </w:p>
    <w:p>
      <w:pPr>
        <w:spacing w:after="80" w:line="360"/>
        <w:ind w:left="440" w:hanging="440"/>
      </w:pPr>
      <w:r>
        <w:rPr>
          <w:rFonts w:ascii="Times New Roman" w:cs="Times New Roman" w:eastAsia="Times New Roman" w:hAnsi="Times New Roman"/>
        </w:rPr>
        <w:t xml:space="preserve">43. Royston P, Parmar MK. Restricted mean survival time: an alternative to the hazard ratio for the design and analysis of randomized trials with a time-to-event outcome. BMC Med Res Methodol. 2013;13:152. doi:10.1186/1471-2288-13-152</w:t>
      </w:r>
    </w:p>
    <w:p>
      <w:pPr>
        <w:spacing w:after="80" w:line="360"/>
        <w:ind w:left="440" w:hanging="440"/>
      </w:pPr>
      <w:r>
        <w:rPr>
          <w:rFonts w:ascii="Times New Roman" w:cs="Times New Roman" w:eastAsia="Times New Roman" w:hAnsi="Times New Roman"/>
        </w:rPr>
        <w:t xml:space="preserve">44. Hartung J, Knapp G. A refined method for the meta-analysis of controlled clinical trials with binary outcome. Stat Med. 2001;20(24):3875-89. doi:10.1002/sim.1009</w:t>
      </w:r>
    </w:p>
    <w:p>
      <w:pPr>
        <w:spacing w:after="80" w:line="360"/>
        <w:ind w:left="440" w:hanging="440"/>
      </w:pPr>
      <w:r>
        <w:rPr>
          <w:rFonts w:ascii="Times New Roman" w:cs="Times New Roman" w:eastAsia="Times New Roman" w:hAnsi="Times New Roman"/>
        </w:rPr>
        <w:t xml:space="preserve">45. IntHout J, Ioannidis JP, Borm GF. The Hartung-Knapp-Sidik-Jonkman method for random effects meta-analysis is straightforward and considerably outperforms the standard DerSimonian-Laird method. BMC Med Res Methodol. 2014;14:25. doi:10.1186/1471-2288-14-25</w:t>
      </w:r>
    </w:p>
    <w:p>
      <w:pPr>
        <w:spacing w:after="80" w:line="360"/>
        <w:ind w:left="440" w:hanging="440"/>
      </w:pPr>
      <w:r>
        <w:rPr>
          <w:rFonts w:ascii="Times New Roman" w:cs="Times New Roman" w:eastAsia="Times New Roman" w:hAnsi="Times New Roman"/>
        </w:rPr>
        <w:t xml:space="preserve">46. Viechtbauer W. Conducting meta-analyses in R with the metafor package. J Stat Softw. 2010;36(3):1-48. doi:10.18637/jss.v036.i03</w:t>
      </w:r>
    </w:p>
    <w:p>
      <w:pPr>
        <w:spacing w:after="80" w:line="360"/>
        <w:ind w:left="440" w:hanging="440"/>
      </w:pPr>
      <w:r>
        <w:rPr>
          <w:rFonts w:ascii="Times New Roman" w:cs="Times New Roman" w:eastAsia="Times New Roman" w:hAnsi="Times New Roman"/>
        </w:rPr>
        <w:t xml:space="preserve">47. Röver C, Knapp G, Friede T. Hartung-Knapp-Sidik-Jonkman approach and its modification for random-effects meta-analysis with few studies. BMC Med Res Methodol. 2015;15:99. doi:10.1186/s12874-015-0091-1</w:t>
      </w:r>
    </w:p>
    <w:p>
      <w:pPr>
        <w:spacing w:after="80" w:line="360"/>
        <w:ind w:left="440" w:hanging="440"/>
      </w:pPr>
      <w:r>
        <w:rPr>
          <w:rFonts w:ascii="Times New Roman" w:cs="Times New Roman" w:eastAsia="Times New Roman" w:hAnsi="Times New Roman"/>
        </w:rPr>
        <w:t xml:space="preserve">48. Tipton E. Small sample adjustments for robust variance estimation with meta-regression. Psychol Methods. 2015;20(3):375-93. doi:10.1037/met0000011</w:t>
      </w:r>
    </w:p>
    <w:p>
      <w:pPr>
        <w:spacing w:after="80" w:line="360"/>
        <w:ind w:left="440" w:hanging="440"/>
      </w:pPr>
      <w:r>
        <w:rPr>
          <w:rFonts w:ascii="Times New Roman" w:cs="Times New Roman" w:eastAsia="Times New Roman" w:hAnsi="Times New Roman"/>
        </w:rPr>
        <w:t xml:space="preserve">49. Pustejovsky JE, Tipton E. Small-sample methods for cluster-robust variance estimation and hypothesis testing in fixed effects models. J Bus Econ Stat. 2018;36(4):672-83. doi:10.1080/07350015.2016.1247004</w:t>
      </w:r>
    </w:p>
    <w:p>
      <w:pPr>
        <w:spacing w:after="80" w:line="360"/>
        <w:ind w:left="440" w:hanging="440"/>
      </w:pPr>
      <w:r>
        <w:rPr>
          <w:rFonts w:ascii="Times New Roman" w:cs="Times New Roman" w:eastAsia="Times New Roman" w:hAnsi="Times New Roman"/>
        </w:rPr>
        <w:t xml:space="preserve">50. Therneau TM. survival: A Package for Survival Analysis in R. R package version 3.8-12. https://CRAN.R-project.org/package=survival</w:t>
      </w:r>
    </w:p>
    <w:p>
      <w:r>
        <w:br w:type="page"/>
      </w:r>
    </w:p>
    <w:p>
      <w:pPr>
        <w:pStyle w:val="Heading1"/>
        <w:spacing w:after="120" w:before="360"/>
      </w:pPr>
      <w:r>
        <w:t xml:space="preserve">Figure legends</w:t>
      </w:r>
    </w:p>
    <w:p>
      <w:pPr>
        <w:spacing w:after="120" w:line="480"/>
      </w:pPr>
      <w:r>
        <w:rPr>
          <w:rFonts w:ascii="Times New Roman" w:cs="Times New Roman" w:eastAsia="Times New Roman" w:hAnsi="Times New Roman"/>
          <w:b/>
          <w:bCs/>
        </w:rPr>
        <w:t xml:space="preserve">Figure 1.</w:t>
      </w:r>
      <w:r>
        <w:rPr>
          <w:rFonts w:ascii="Times New Roman" w:cs="Times New Roman" w:eastAsia="Times New Roman" w:hAnsi="Times New Roman"/>
        </w:rPr>
        <w:t xml:space="preserve"> Selection of signatures. Flow of records from the PubMed search to the 15 included signatures. The 76 papers with detailed extraction records used for the reporting-completeness analysis are a subset of the 90 full texts reviewed.</w:t>
      </w:r>
    </w:p>
    <w:p>
      <w:pPr>
        <w:spacing w:after="360"/>
        <w:jc w:val="center"/>
      </w:pPr>
      <w:r>
        <w:drawing>
          <wp:inline distT="0" distB="0" distL="0" distR="0">
            <wp:extent cx="43910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46863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2.</w:t>
      </w:r>
      <w:r>
        <w:rPr>
          <w:rFonts w:ascii="Times New Roman" w:cs="Times New Roman" w:eastAsia="Times New Roman" w:hAnsi="Times New Roman"/>
        </w:rP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pPr>
        <w:spacing w:after="360"/>
        <w:jc w:val="center"/>
      </w:pPr>
      <w:r>
        <w:drawing>
          <wp:inline distT="0" distB="0" distL="0" distR="0">
            <wp:extent cx="54864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7053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3.</w:t>
      </w:r>
      <w:r>
        <w:rPr>
          <w:rFonts w:ascii="Times New Roman" w:cs="Times New Roman" w:eastAsia="Times New Roman" w:hAnsi="Times New Roman"/>
        </w:rPr>
        <w:t xml:space="preserve"> C-index of each published score in TCGA-LUAD (apparent performance; x-axis) and in each independent cohort (y-axis; 95% bootstrap CI). The dotted line marks equal performance and the dashed line no discrimination (C = 0.5).</w:t>
      </w:r>
    </w:p>
    <w:p>
      <w:pPr>
        <w:spacing w:after="360"/>
        <w:jc w:val="center"/>
      </w:pPr>
      <w:r>
        <w:drawing>
          <wp:inline distT="0" distB="0" distL="0" distR="0">
            <wp:extent cx="47529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43624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4.</w:t>
      </w:r>
      <w:r>
        <w:rPr>
          <w:rFonts w:ascii="Times New Roman" w:cs="Times New Roman" w:eastAsia="Times New Roman" w:hAnsi="Times New Roman"/>
        </w:rPr>
        <w:t xml:space="preserve"> Hazard ratio per SD of the published risk score for each signature in TCGA-LUAD (open circles; reference only) and in each independent cohort where it was evaluable (filled squares), with 95% CIs, on a log scale.</w:t>
      </w:r>
    </w:p>
    <w:p>
      <w:pPr>
        <w:spacing w:after="360"/>
        <w:jc w:val="center"/>
      </w:pPr>
      <w:r>
        <w:drawing>
          <wp:inline distT="0" distB="0" distL="0" distR="0">
            <wp:extent cx="3838575"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6143625"/>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5.</w:t>
      </w:r>
      <w:r>
        <w:rPr>
          <w:rFonts w:ascii="Times New Roman" w:cs="Times New Roman" w:eastAsia="Times New Roman" w:hAnsi="Times New Roman"/>
        </w:rPr>
        <w:t xml:space="preserve"> Yao 2021 in TCGA-LUAD (development cohort, not pooled) and in five independent cohorts. Diamonds show the exploratory pooled estimate with the registered REML Hartung–Knapp interval and with the modified Hartung–Knapp interval.</w:t>
      </w:r>
    </w:p>
    <w:p>
      <w:pPr>
        <w:spacing w:after="3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6.</w:t>
      </w:r>
      <w:r>
        <w:rPr>
          <w:rFonts w:ascii="Times New Roman" w:cs="Times New Roman" w:eastAsia="Times New Roman" w:hAnsi="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pPr>
        <w:spacing w:after="3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Supplementary Figure S1.</w:t>
      </w:r>
      <w:r>
        <w:rPr>
          <w:rFonts w:ascii="Times New Roman" w:cs="Times New Roman" w:eastAsia="Times New Roman" w:hAnsi="Times New Roman"/>
        </w:rPr>
        <w:t xml:space="preserve"> Observed C-index (95% CI) of each independent pair against the range of C-indexes from 2,000 expression-matched random gene sets scored with the same coefficients (grey band, 2.5th–97.5th percentiles).</w:t>
      </w:r>
    </w:p>
    <w:p>
      <w:pPr>
        <w:spacing w:after="120" w:line="480"/>
      </w:pPr>
      <w:r>
        <w:rPr>
          <w:rFonts w:ascii="Times New Roman" w:cs="Times New Roman" w:eastAsia="Times New Roman" w:hAnsi="Times New Roman"/>
          <w:b/>
          <w:bCs/>
        </w:rPr>
        <w:t xml:space="preserve">Supplementary Figure S2.</w:t>
      </w:r>
      <w:r>
        <w:rPr>
          <w:rFonts w:ascii="Times New Roman" w:cs="Times New Roman" w:eastAsia="Times New Roman" w:hAnsi="Times New Roman"/>
        </w:rPr>
        <w:t xml:space="preserve"> Kaplan–Meier curves of overall survival for patients above and below the median published score, for the 26 independent pairs.</w:t>
      </w:r>
    </w:p>
    <w:p>
      <w:pPr>
        <w:pStyle w:val="Heading1"/>
        <w:spacing w:after="120" w:before="360"/>
      </w:pPr>
      <w:r>
        <w:t xml:space="preserve">Supplementary material</w:t>
      </w:r>
    </w:p>
    <w:p>
      <w:pPr>
        <w:spacing w:after="120" w:line="480"/>
      </w:pPr>
      <w:r>
        <w:rPr>
          <w:rFonts w:ascii="Times New Roman" w:cs="Times New Roman" w:eastAsia="Times New Roman" w:hAnsi="Times New Roman"/>
        </w:rPr>
        <w:t xml:space="preserve">Supplementary File 1: deviations log (v2), search strategy and the registration updates. Supplementary File 2: reporting checklist for lncRNA prognostic signature studies.</w:t>
      </w:r>
    </w:p>
    <w:p>
      <w:pPr>
        <w:spacing w:after="120" w:line="480"/>
      </w:pPr>
      <w:r>
        <w:rPr>
          <w:rFonts w:ascii="Times New Roman" w:cs="Times New Roman" w:eastAsia="Times New Roman" w:hAnsi="Times New Roman"/>
        </w:rPr>
        <w:t xml:space="preserve">Supplementary tables (results/paper/tables):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pPr>
        <w:sectPr>
          <w:footerReference w:type="default" r:id="rId7"/>
          <w:pgSz w:w="11906" w:h="16838" w:orient="portrait"/>
          <w:pgMar w:top="1440" w:right="1440" w:bottom="1440" w:left="1440" w:header="708" w:footer="708" w:gutter="0"/>
          <w:lnNumType w:countBy="1" w:restart="continuous"/>
          <w:pgNumType/>
          <w:docGrid w:linePitch="360"/>
        </w:sectPr>
      </w:pPr>
    </w:p>
    <w:p>
      <w:pPr>
        <w:spacing w:after="120"/>
      </w:pPr>
      <w:r>
        <w:rPr>
          <w:rFonts w:ascii="Times New Roman" w:cs="Times New Roman" w:eastAsia="Times New Roman" w:hAnsi="Times New Roman"/>
          <w:b/>
          <w:bCs/>
        </w:rPr>
        <w:t xml:space="preserve">Table 1.</w:t>
      </w:r>
      <w:r>
        <w:rPr>
          <w:rFonts w:ascii="Times New Roman" w:cs="Times New Roman" w:eastAsia="Times New Roman" w:hAnsi="Times New Roman"/>
        </w:rPr>
        <w:t xml:space="preserve"> Characteristics of the 15 published LUAD lncRNA prognostic signatures.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1300"/>
        <w:gridCol w:w="1300"/>
        <w:gridCol w:w="2000"/>
        <w:gridCol w:w="3000"/>
        <w:gridCol w:w="3358"/>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Ref.</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Risk / protective coefficients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Gene-name release</w:t>
            </w:r>
          </w:p>
        </w:tc>
        <w:tc>
          <w:tcPr>
            <w:tcW w:type="dxa" w:w="2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Expression scale stated</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Cohorts used by the authors</w:t>
            </w:r>
          </w:p>
        </w:tc>
        <w:tc>
          <w:tcPr>
            <w:tcW w:type="dxa" w:w="33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Independent cohorts evaluable (≥ 80% of genes)</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HTSeq - 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standardized expression levels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GSE50081</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STAR-Counts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GSE31210, GSE50081, GSE30219,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 GSE50081, GSE30219</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 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bl>
    <w:p>
      <w:pPr>
        <w:spacing w:before="120"/>
      </w:pPr>
      <w:r>
        <w:rPr>
          <w:rFonts w:ascii="Times New Roman" w:cs="Times New Roman" w:eastAsia="Times New Roman" w:hAnsi="Times New Roman"/>
          <w:sz w:val="17"/>
          <w:szCs w:val="17"/>
        </w:rPr>
        <w:t xml:space="preserve">Risk coefficients &gt; 0, protective &lt; 0. Gene-name release: the GENCODE release whose gene names the paper follows, used to map names to Ensembl identifiers. Cohorts used by the authors (development, feature selection or validation) are not independent for that signature.</w:t>
      </w:r>
    </w:p>
    <w:p>
      <w:r>
        <w:br w:type="page"/>
      </w:r>
    </w:p>
    <w:p>
      <w:pPr>
        <w:spacing w:after="120"/>
      </w:pPr>
      <w:r>
        <w:rPr>
          <w:rFonts w:ascii="Times New Roman" w:cs="Times New Roman" w:eastAsia="Times New Roman" w:hAnsi="Times New Roman"/>
          <w:b/>
          <w:bCs/>
        </w:rPr>
        <w:t xml:space="preserve">Table 2.</w:t>
      </w:r>
      <w:r>
        <w:rPr>
          <w:rFonts w:ascii="Times New Roman" w:cs="Times New Roman" w:eastAsia="Times New Roman" w:hAnsi="Times New Roman"/>
        </w:rPr>
        <w:t xml:space="preserve"> Cohorts.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2600"/>
        <w:gridCol w:w="900"/>
        <w:gridCol w:w="800"/>
        <w:gridCol w:w="1100"/>
        <w:gridCol w:w="2300"/>
        <w:gridCol w:w="1300"/>
        <w:gridCol w:w="18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1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Role</w:t>
            </w:r>
          </w:p>
        </w:tc>
        <w:tc>
          <w:tcPr>
            <w:tcW w:type="dxa" w:w="2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Platform</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Patients</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Median follow-up, months</w:t>
            </w:r>
          </w:p>
        </w:tc>
        <w:tc>
          <w:tcPr>
            <w:tcW w:type="dxa" w:w="2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Stage I / II / III / IV / missing</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Positive control</w:t>
            </w:r>
          </w:p>
        </w:tc>
        <w:tc>
          <w:tcPr>
            <w:tcW w:type="dxa" w:w="18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Signatures with ≥ 80% (100%) of genes; independent pairs</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Reference (apparent performance)</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504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270 / 120 / 81 / 25 / 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total RNA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 46 / 43 / 2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15</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60.7</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168 / 58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65.9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92 / 35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79 / 3 / 1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(Cufflinks FPKM, Ensembl 73)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52.3</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61 / 19 / 24 / 3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 (6); 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GSE72094</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Rosetta/Merck array GPL15048 (series matrix)</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398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254 / 67 / 57 / 15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(0); 0</w:t>
            </w:r>
          </w:p>
        </w:tc>
      </w:tr>
    </w:tbl>
    <w:p>
      <w:pPr>
        <w:spacing w:before="120"/>
      </w:pPr>
      <w:r>
        <w:rPr>
          <w:rFonts w:ascii="Times New Roman" w:cs="Times New Roman" w:eastAsia="Times New Roman" w:hAnsi="Times New Roman"/>
          <w:sz w:val="17"/>
          <w:szCs w:val="17"/>
        </w:rPr>
        <w:t xml:space="preserve">Median follow-up by the reverse Kaplan–Meier method. Positive control: Cox model on stage; HR III vs I (registered) or, in cohorts with fewer than 10 stage III–IV patients, HR II vs I (Update 3). Independent pairs: evaluable signature–cohort pairs not used by the signature's authors.</w:t>
      </w:r>
    </w:p>
    <w:p>
      <w:r>
        <w:br w:type="page"/>
      </w:r>
    </w:p>
    <w:p>
      <w:pPr>
        <w:spacing w:after="120"/>
      </w:pPr>
      <w:r>
        <w:rPr>
          <w:rFonts w:ascii="Times New Roman" w:cs="Times New Roman" w:eastAsia="Times New Roman" w:hAnsi="Times New Roman"/>
          <w:b/>
          <w:bCs/>
        </w:rPr>
        <w:t xml:space="preserve">Table 3.</w:t>
      </w:r>
      <w:r>
        <w:rPr>
          <w:rFonts w:ascii="Times New Roman" w:cs="Times New Roman" w:eastAsia="Times New Roman" w:hAnsi="Times New Roman"/>
        </w:rPr>
        <w:t xml:space="preserve"> Results for the 26 independent signature–cohort pairs (H1, HR per SD and H2).</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800"/>
        <w:gridCol w:w="750"/>
        <w:gridCol w:w="1700"/>
        <w:gridCol w:w="1500"/>
        <w:gridCol w:w="800"/>
        <w:gridCol w:w="900"/>
        <w:gridCol w:w="1700"/>
        <w:gridCol w:w="2050"/>
        <w:gridCol w:w="14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 present</w:t>
            </w:r>
          </w:p>
        </w:tc>
        <w:tc>
          <w:tcPr>
            <w:tcW w:type="dxa" w:w="7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C-index (95% CI)</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Random genes, 2.5–97.5%</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 (Holm)</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HR per SD (95% CI)</w:t>
            </w:r>
          </w:p>
        </w:tc>
        <w:tc>
          <w:tcPr>
            <w:tcW w:type="dxa" w:w="20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ΔC-index beyond stage, sex, age (95% CI)</w:t>
            </w:r>
          </w:p>
        </w:tc>
        <w:tc>
          <w:tcPr>
            <w:tcW w:type="dxa" w:w="14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H2 p (Holm)</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(0.53-0.68)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1.24 (0.96-1.61)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0.018 (-0.003 to 0.061)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0.76</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0.55 (0.46-0.64)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1.21 (0.92-1.59)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(-0.014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0.58 (0.50-0.66)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1.32 (1.02-1.71)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 (-0.010 to 0.050)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(0.55-0.71)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1.49 (1.15-1.92)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0.027 (-0.003 to 0.072)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1.50 (1.10-2.05)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0.030 (-0.010 to 0.096)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0.021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(0.44-0.62)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1.08 (0.83-1.41)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(-0.013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(0.48-0.65)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(0.98-1.71)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(-0.010 to 0.055)</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(0.54-0.69)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1.47 (1.14-1.89)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0.044 (0.000 to 0.107)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0.59 (0.51-0.67)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1.71 (1.22-2.40)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(-0.004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11/11</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0.56 (0.47-0.64)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(0.87-1.53)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0.003 (-0.010 to 0.051)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0.65 (0.58-0.73)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0.090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(1.16-1.89)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0.031 (-0.001 to 0.091)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(0.50-0.68)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1.42 (1.07-1.90)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0.015 (-0.010 to 0.078)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(0.54-0.71)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1.55 (1.19-2.03)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(-0.009 to 0.082)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0.54 (0.46-0.63)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0.43–0.62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(0.94-1.62)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(-0.017 to 0.053)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0.67</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(0.43-0.62)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1.02 (0.76-1.35)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(-0.016 to 0.036)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0.34–0.67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(1.09-2.00)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 (-0.018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0.14</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1.43 (1.07-1.92)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(-0.004 to 0.127)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(0.50-0.71)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1.35 (1.00-1.83)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0.058 (-0.002 to 0.164)</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 (0.42-0.61)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1.04 (0.77-1.40)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(-0.019 to 0.040)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0.50 (0.40-0.59)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(0.84-1.57)</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(-0.026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0.52 (0.44-0.61)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 (0.82-1.40)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(-0.018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(0.40-0.58)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0.87</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(0.87-1.51)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-0.005 (-0.019 to 0.041)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(0.47-0.67)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(0.96-1.71)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(-0.016 to 0.056)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(0.55-0.70)</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1.52 (1.15-2.02)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(-0.010 to 0.077)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0.98 (0.74-1.31)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-0.010 (-0.029 to 0.057)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0.48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 (0.71-1.25)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(-0.028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bl>
    <w:p>
      <w:pPr>
        <w:spacing w:before="120"/>
      </w:pPr>
      <w:r>
        <w:rPr>
          <w:rFonts w:ascii="Times New Roman" w:cs="Times New Roman" w:eastAsia="Times New Roman" w:hAnsi="Times New Roman"/>
          <w:sz w:val="17"/>
          <w:szCs w:val="17"/>
        </w:rPr>
        <w:t xml:space="preserve">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standardised score added to stage, sex and age; * adds value (Holm-adjusted p &lt; 0.05).</w:t>
      </w:r>
    </w:p>
    <w:p>
      <w:r>
        <w:br w:type="page"/>
      </w:r>
    </w:p>
    <w:p>
      <w:pPr>
        <w:spacing w:after="120"/>
      </w:pPr>
      <w:r>
        <w:rPr>
          <w:rFonts w:ascii="Times New Roman" w:cs="Times New Roman" w:eastAsia="Times New Roman" w:hAnsi="Times New Roman"/>
          <w:b/>
          <w:bCs/>
        </w:rPr>
        <w:t xml:space="preserve">Table 4.</w:t>
      </w:r>
      <w:r>
        <w:rPr>
          <w:rFonts w:ascii="Times New Roman" w:cs="Times New Roman" w:eastAsia="Times New Roman" w:hAnsi="Times New Roman"/>
        </w:rPr>
        <w:t xml:space="preserve"> Aggregate and pooled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0"/>
        <w:gridCol w:w="4700"/>
        <w:gridCol w:w="2258"/>
      </w:tblGrid>
      <w:tr>
        <w:trPr>
          <w:tblHeader/>
        </w:trPr>
        <w:tc>
          <w:tcPr>
            <w:tcW w:type="dxa" w:w="7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Analysis</w:t>
            </w:r>
          </w:p>
        </w:tc>
        <w:tc>
          <w:tcPr>
            <w:tcW w:type="dxa" w:w="4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Estimate</w:t>
            </w:r>
          </w:p>
        </w:tc>
        <w:tc>
          <w:tcPr>
            <w:tcW w:type="dxa" w:w="22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Result</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Aggregate transportability: mean log-HR per SD over 26 independent pairs in 5 cohorts, patient-level cluster bootstrap (2000 resamples);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1.27 (1.13-1.45); log-HR 0.243 (0.127 to 0.370)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Cross-check: multilevel meta-analysis (pairs within cohorts), CR2 cluster-robust CI</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1.29 (1.06-1.56); df 2.7</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CI above HR 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effective: one per cluster per cohort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 of 25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nominal: every signature x cohort pair</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 of 26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over 5 independent cohorts (CPTAC-3, GSE31210, GSE50081, GSE30219, GSE81089; 232 deaths), REML + Hartung-Knapp (registered, exploratory)</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(1.30-1.52); I2 0%; tau2 0.000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modified Hartung-Knapp (q* = max(1, q));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(1.17-1.68); q = 0.19</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common effect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(1.24-1.60)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leave-one-cohort-out (REML + Hartung-Knapp)</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1.38 to 1.44; lowest CI bound 1.25</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Gene level: share of (gene, independent cohort) pairs whose univariable Cox sign matches the published coefficient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0.776</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bl>
    <w:p>
      <w:pPr>
        <w:spacing w:before="120"/>
      </w:pPr>
      <w:r>
        <w:rPr>
          <w:rFonts w:ascii="Times New Roman" w:cs="Times New Roman" w:eastAsia="Times New Roman" w:hAnsi="Times New Roman"/>
          <w:sz w:val="17"/>
          <w:szCs w:val="17"/>
        </w:rPr>
        <w:t xml:space="preserve">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r>
        <w:br w:type="page"/>
      </w:r>
    </w:p>
    <w:p>
      <w:pPr>
        <w:spacing w:after="120"/>
      </w:pPr>
      <w:r>
        <w:rPr>
          <w:rFonts w:ascii="Times New Roman" w:cs="Times New Roman" w:eastAsia="Times New Roman" w:hAnsi="Times New Roman"/>
          <w:b/>
          <w:bCs/>
        </w:rPr>
        <w:t xml:space="preserve">Table 5.</w:t>
      </w:r>
      <w:r>
        <w:rPr>
          <w:rFonts w:ascii="Times New Roman" w:cs="Times New Roman" w:eastAsia="Times New Roman" w:hAnsi="Times New Roman"/>
        </w:rPr>
        <w:t xml:space="preserve"> Sensitivity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1200"/>
        <w:gridCol w:w="3000"/>
        <w:gridCol w:w="3758"/>
      </w:tblGrid>
      <w:tr>
        <w:trPr>
          <w:tblHeader/>
        </w:trPr>
        <w:tc>
          <w:tcPr>
            <w:tcW w:type="dxa" w:w="6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Setting</w:t>
            </w:r>
          </w:p>
        </w:tc>
        <w:tc>
          <w:tcPr>
            <w:tcW w:type="dxa" w:w="12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Pairs</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Mean HR per SD (95% CI) or H1 counts</w:t>
            </w:r>
          </w:p>
        </w:tc>
        <w:tc>
          <w:tcPr>
            <w:tcW w:type="dxa" w:w="37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Verdict or replicated pairs</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 Aggregate transportability</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(repeated with B = 1000)</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raw log2 scale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(1.16-1.49)</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(1.16-1.48)</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30</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(1.14-1.43)</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TPM rescaled to protein-coding + lncRNA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(1.13-1.44)</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(1.09-1.42)</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(1.15-1.46)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B. H1 classification (Replicated / Contradicted / Inconclusive)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(registered)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lncRNA genes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 GSE81089</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all measurable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CPTAC-3</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1</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bl>
    <w:p>
      <w:pPr>
        <w:spacing w:before="120"/>
      </w:pPr>
      <w:r>
        <w:rPr>
          <w:rFonts w:ascii="Times New Roman" w:cs="Times New Roman" w:eastAsia="Times New Roman" w:hAnsi="Times New Roman"/>
          <w:sz w:val="17"/>
          <w:szCs w:val="17"/>
        </w:rPr>
        <w:t xml:space="preserve">Primary transportability analysis with 2,000 bootstrap resamples (Table 4); sensitivity settings with 1,000. Measurable genes were recomputed in every setting.</w:t>
      </w:r>
    </w:p>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f61e1c1fdefd732505f6e850e30ea52e97f385b.png"/><Relationship Id="rId10" Type="http://schemas.openxmlformats.org/officeDocument/2006/relationships/image" Target="media/1eb9c59979b57c7427c275a6e783fdddfe2de4eb.png"/><Relationship Id="rId11" Type="http://schemas.openxmlformats.org/officeDocument/2006/relationships/image" Target="media/eeb0e74c1b879a482373fe47411a37ff0475c414.png"/><Relationship Id="rId12" Type="http://schemas.openxmlformats.org/officeDocument/2006/relationships/image" Target="media/384b781a0ee1426416d6b3b2c7fd8f8306b088cb.png"/><Relationship Id="rId13" Type="http://schemas.openxmlformats.org/officeDocument/2006/relationships/image" Target="media/c10e892a5da891b9e7b844207d3bf8ea25f3f654.png"/><Relationship Id="rId14" Type="http://schemas.openxmlformats.org/officeDocument/2006/relationships/image" Target="media/1338eeb6e6a8d56f86b275abe0a5b6d193cc55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cp:revision>1</cp:revision>
  <dcterms:created xsi:type="dcterms:W3CDTF">2026-10-24T12:32:54.338Z</dcterms:created>
  <dcterms:modified xsi:type="dcterms:W3CDTF">2026-10-24T12:32:54.339Z</dcterms:modified>
</cp:coreProperties>
</file>

<file path=docProps/custom.xml><?xml version="1.0" encoding="utf-8"?>
<Properties xmlns="http://schemas.openxmlformats.org/officeDocument/2006/custom-properties" xmlns:vt="http://schemas.openxmlformats.org/officeDocument/2006/docPropsVTypes"/>
</file>