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REMARK checklist</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spacing w:after="120" w:line="300"/>
      </w:pPr>
      <w:r>
        <w:rPr>
          <w:rFonts w:ascii="Times New Roman" w:cs="Times New Roman" w:eastAsia="Times New Roman" w:hAnsi="Times New Roman"/>
        </w:rPr>
        <w:t xml:space="preserve">Checklist items from McShane LM et al. REporting recommendations for tumour MARKer prognostic studies (REMARK). Br J Cancer 2005;93:387–91, as given in Altman DG et al. PLoS Med 2012;9:e1001216. Line numbers refer to the manuscript file ManuscriptDraft5_v25.docx (continuous line numbering).</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700"/>
        <w:gridCol w:w="560"/>
        <w:gridCol w:w="5600"/>
        <w:gridCol w:w="1650"/>
        <w:gridCol w:w="4360"/>
      </w:tblGrid>
      <w:tr>
        <w:trPr>
          <w:tblHeader/>
        </w:trPr>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43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Introduction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State the marker examined, the study objectives, and any pre-specified hypotheses.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72–78; 81–96</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Markers: 15 published lncRNA signatures (Table 1); hypotheses H1–H3 pre-registered.</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Materials and methods: patients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characteristics (for example, disease stage or co-morbidities) of the study patients, including their source and inclusion and exclusion criteria.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 258–262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treatments received and how chosen (for example, randomized or rule-based).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226–227</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Treatment not recorded consistently in the public cohorts; GSE31210 sensitivity analysis.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Specimen characteristics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type of biological material used (including control samples) and methods of preservation and storage.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114–117; 121–132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Primary tumour tissue; preservation as described in the source studies (refs 2, 30–35).</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Assay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assay method used and provide (or reference) a detailed protocol, including specific reagents or kits used, quality control procedures, reproducibility assessments, quantitation methods, and scoring and reporting protocols. Specify whether and how assays were performed blinded to the study endpoint.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121–132; 134–147; 157–160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Platforms in Table 2. Assays were done by the source studies; scoring was automated and blind to outcome.</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Study design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State the method of case selection, including whether prospective or retrospective and whether stratification or matching (for example, by stage of disease or age) was used. Specify the time period from which cases were taken, the end of the follow-up period, and the median follow-up time.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81–96; 114–117</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Retrospective analysis of public cohorts; no matching. Median follow-up in Table 2; accrual periods in the source studies (refs 2, 30–35).</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Precisely define all clinical endpoints examined.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118</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List all candidate variables initially examined or considered for inclusion in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106–110; 177–181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Published signature genes (Table 1, Supplementary Table S4); stage, sex and age.</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rationale for sample size; if the study was designed to detect a specified effect size, give the target power and effect size.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57–59; 206–211; 323–328</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Sizes fixed by the public cohorts; power at true C-index 0.60, 0.65 and 0.70 (Supplementary Table S9).</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Statistical analysis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all statistical methods, including details of any variable selection procedures and other model-building issues, how model assumptions were verified, and how missing data were handled.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156–228</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Proportional hazards: lines 188–190; missing data: lines 180–181; no variable selection (published models).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Clarify how marker values were handled in the analyses; if relevant, describe methods used for cutpoint determination.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 185–190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Continuous standardised score; median split only for log-rank tests and Kaplan–Meier curves; no cutpoint optimisation.</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Results: 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flow of patients through the study, including the number of patients included in each stage of the analysis (a diagram may be helpful) and reasons for dropout. Specifically, both overall and for each subgroup extensively examined report the number of patients and the number of events.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 264–271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Table 3 and Supplementary Tables S6–S8 (patients and deaths per pair); Figure 1 (signature selection).</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distributions of basic demographic characteristics (at least age and sex), standard (disease-specific) prognostic variables, and tumor marker, including numbers of missing values.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(age, sex, stage with missing values).</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Analysis and presentation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14</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Show the relation of the marker to standard prognostic variables.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285–291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Unadjusted and stage-, sex- and age-adjusted HRs per SD (Table 3; Supplementary Tables S7–S8).</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Present univariable analyses showing the relation between the marker and outcome, with the estimated effect (for example, hazard ratio and survival probability). Preferably provide similar analyses for all other variables being analyzed. For the effect of a tumor marker on a time-to-event outcome, a Kaplan-Meier plot is recommended.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293–302; 645–646</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HR per SD (Table 3, Figure 4, Supplementary Table S8); Kaplan–Meier curves (Supplementary Figure S2); stage (Supplementary Table S1).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key multivariable analyses, report estimated effects (for example, hazard ratio) with confidence intervals for the marker and, at least for the final model, all other variables in the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285–291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Adjusted HR per SD with 95% CI (Supplementary Table S7); stage HRs in Supplementary Table S1.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Among reported results, provide estimated effects with confidence intervals from an analysis in which the marker and standard prognostic variables are included, regardless of their statistical significance.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285–291</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All 26 pairs reported (Table 3; Supplementary Table S7).</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done, report results of further investigations, such as checking assumptions, sensitivity analyses, and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280–283; 316–320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Proportional hazards (lines 300); Table 5; Supplementary Tables S10–S11.</w:t>
            </w: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Interpret the results in the context of the pre-specified hypotheses and other relevant studies; include a discussion of limitations of the study.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343–400; 408–423</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w:t>
            </w:r>
          </w:p>
        </w:tc>
        <w:tc>
          <w:tcPr>
            <w:tcW w:type="dxa" w:w="5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implications for future research and clinical value.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393–400; 425–430</w:t>
            </w:r>
          </w:p>
        </w:tc>
        <w:tc>
          <w:tcPr>
            <w:tcW w:type="dxa" w:w="43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REMARK checklist</dc:title>
  <cp:revision>1</cp:revision>
  <dcterms:created xsi:type="dcterms:W3CDTF">2026-10-24T14:08:52.012Z</dcterms:created>
  <dcterms:modified xsi:type="dcterms:W3CDTF">2026-10-24T14:08:52.012Z</dcterms:modified>
</cp:coreProperties>
</file>

<file path=docProps/custom.xml><?xml version="1.0" encoding="utf-8"?>
<Properties xmlns="http://schemas.openxmlformats.org/officeDocument/2006/custom-properties" xmlns:vt="http://schemas.openxmlformats.org/officeDocument/2006/docPropsVTypes"/>
</file>