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Times New Roman" w:cs="Times New Roman" w:eastAsia="Times New Roman" w:hAnsi="Times New Roman"/>
          <w:b/>
          <w:bCs/>
          <w:sz w:val="30"/>
          <w:szCs w:val="30"/>
        </w:rPr>
        <w:t xml:space="preserve">TRIPOD+AI checklist</w:t>
      </w:r>
    </w:p>
    <w:p>
      <w:pPr>
        <w:spacing w:after="240"/>
      </w:pPr>
      <w:r>
        <w:rPr>
          <w:rFonts w:ascii="Times New Roman" w:cs="Times New Roman" w:eastAsia="Times New Roman" w:hAnsi="Times New Roman"/>
          <w:i/>
          <w:iCs/>
          <w:sz w:val="22"/>
          <w:szCs w:val="22"/>
        </w:rPr>
        <w:t xml:space="preserve">Published lncRNA prognostic signatures for lung adenocarcinoma share a modest transportable signal, but none is individually validated: a pre-registered benchmark</w:t>
      </w:r>
    </w:p>
    <w:p>
      <w:pPr>
        <w:spacing w:after="120" w:line="300"/>
      </w:pPr>
      <w:r>
        <w:rPr>
          <w:rFonts w:ascii="Times New Roman" w:cs="Times New Roman" w:eastAsia="Times New Roman" w:hAnsi="Times New Roman"/>
        </w:rPr>
        <w:t xml:space="preserve">Checklist items from Collins GS et al. TRIPOD+AI statement. BMJ 2024;385:e078378. Line numbers refer to the manuscript file ManuscriptDraft5_v25.docx (continuous line numbering). D = development, E = evaluation; this study evaluates published models, so items for development only (D) are not applicable.</w:t>
      </w:r>
    </w:p>
    <w:tbl>
      <w:tblPr>
        <w:tblW w:type="dxa" w:w="13870"/>
        <w:tblBorders>
          <w:top w:val="single" w:color="auto" w:sz="4"/>
          <w:left w:val="single" w:color="auto" w:sz="4"/>
          <w:bottom w:val="single" w:color="auto" w:sz="4"/>
          <w:right w:val="single" w:color="auto" w:sz="4"/>
          <w:insideH w:val="single" w:color="auto" w:sz="4"/>
          <w:insideV w:val="single" w:color="auto" w:sz="4"/>
        </w:tblBorders>
      </w:tblPr>
      <w:tblGrid>
        <w:gridCol w:w="1500"/>
        <w:gridCol w:w="560"/>
        <w:gridCol w:w="560"/>
        <w:gridCol w:w="4200"/>
        <w:gridCol w:w="1650"/>
        <w:gridCol w:w="5400"/>
      </w:tblGrid>
      <w:tr>
        <w:trPr>
          <w:tblHeader/>
        </w:trPr>
        <w:tc>
          <w:tcPr>
            <w:tcW w:type="dxa" w:w="15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Section/topic</w:t>
            </w:r>
          </w:p>
        </w:tc>
        <w:tc>
          <w:tcPr>
            <w:tcW w:type="dxa" w:w="56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Item</w:t>
            </w:r>
          </w:p>
        </w:tc>
        <w:tc>
          <w:tcPr>
            <w:tcW w:type="dxa" w:w="56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D/E</w:t>
            </w:r>
          </w:p>
        </w:tc>
        <w:tc>
          <w:tcPr>
            <w:tcW w:type="dxa" w:w="42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Checklist item</w:t>
            </w:r>
          </w:p>
        </w:tc>
        <w:tc>
          <w:tcPr>
            <w:tcW w:type="dxa" w:w="165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Reported on line(s)</w:t>
            </w:r>
          </w:p>
        </w:tc>
        <w:tc>
          <w:tcPr>
            <w:tcW w:type="dxa" w:w="54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Comment</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Title</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Identify the study as developing or evaluating the performance of a multivariable prediction model, the target population, and the outcome to be predicted</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1–3</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Evaluation (benchmark) of published prognostic signatures in lung adenocarcinoma. The outcome, overall survival, is named in the abstract (line 20).</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Abstract</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See TRIPOD+AI for Abstracts checklist</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12–38</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See the TRIPOD+AI for Abstracts table below.</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Background</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3a</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Explain the healthcare context (including whether diagnostic or prognostic) and rationale for developing or evaluating the prediction model, including references to existing models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43–71</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Prognostic models; rationale for evaluating published lncRNA signatures; existing signatures cited (refs 15–29, Table 1).</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3b</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Describe the target population and the intended purpose of the prediction model in the context of the care pathway, including its intended users (eg, healthcare professionals, patients, public)</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43–51</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Patients with LUAD; prognostic stratification by tumour gene expression. The original papers do not define intended users; this study evaluates published models and does not propose clinical use.</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3c</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Describe any known health inequalities between sociodemographic groups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addressed: the public cohorts record no sociodemographic variables beyond age and sex.</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Objectives</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4</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Specify the study objectives, including whether the study describes the development or validation of a prediction model (or both)</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72–78; 81–96</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External validation (evaluation) of published models only; hypotheses H1–H3 pre-registered.</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Data</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5a</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Describe the sources of data separately for the development and evaluation datasets (eg, randomised trial, cohort, routine care or registry data), the rationale for using these data, and representativeness of the data</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112–119; 121–132; 149–155; 372–383</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Development data: TCGA-LUAD (reference). Evaluation data: six public cohorts (Table 2). Representativeness of platforms and annotation discussed.</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5b</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Specify the dates of the collected participant data, including start and end of participant accrual; and, if applicable, end of follow-up</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112–119</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Median follow-up in Table 2. Accrual periods are those of the source studies (refs 2, 30–35).</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Participants</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6a</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Specify key elements of the study setting (eg, primary care, secondary care, general population) including the number and location of centres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112–119</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Public tumour-expression cohorts, cited with their source publications (refs 2, 30–35), which describe centres and setting; platforms in Table 2.</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6b</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Describe the eligibility criteria for study participants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114–117</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Signature–cohort eligibility (coverage, independence): lines 145–147 and 149–155.</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6c</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Give details of any treatments received, and how they were handled during model development or evaluation, if relevant</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226–227</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Treatment is not recorded consistently in the public cohorts; GSE31210 cases with incomplete resection or adjuvant therapy excluded in a sensitivity analysis.</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Data preparation</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7</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Describe any data pre-processing and quality checking, including whether this was similar across relevant sociodemographic groups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121–132; 134–147</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Supplementary Tables S2–S5. Not examined by sociodemographic group.</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Outcome</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8a</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Clearly define the outcome that is being predicted and the time horizon, including how and when assessed, the rationale for choosing this outcome, and whether the method of outcome assessment is consistent across sociodemographic groups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118; 186–187</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Overall survival (the outcome of every included signature, line 100); time horizons 12, 36 and 60 months.</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8b</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If outcome assessment requires subjective interpretation, describe the qualifications and demographic characteristics of the outcome assessors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applicable: overall survival.</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8c</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Report any actions to blind assessment of the outcome to be predicted</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applicable: survival was recorded by the source studies before this study.</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Predictors</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9a</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Describe the choice of initial predictors (eg, literature, previous models, all available predictors) and any pre-selection of predictors before model building</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98–105; 106–110</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applicable (no model development): predictors are the published genes and coefficients (Table 1).</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9b</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Clearly define all predictors, including how and when they were measured (and any actions to blind assessment of predictors for the outcome and other predictors)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121–132; 134–147; 157–160</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Table 1; Supplementary Table S4. Expression was measured by the source studies; scores were computed by code without access to outcomes.</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9c</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If predictor measurement requires subjective interpretation, describe the qualifications and demographic characteristics of the predictor assessors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applicable: gene expression.</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Sample size</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10</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Explain how the study size was arrived at (separately for development and evaluation), and justify that the study size was sufficient to answer the research question. Include details of any sample size calculation</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57–59; 206–211; 323–328; 363–371</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Sizes fixed by the public cohorts; power simulated at each cohort's own size (Supplementary Table S9).</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Missing data</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11</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Describe how missing data were handled. Provide reasons for omitting any data</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125; 145–147; 158–159; 180–181</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Missing genes reported with reasons (Supplementary Tables S3, S5); stage missing in Table 2.</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Analytical methods</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12a</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Describe how the data were used (eg, for development and evaluation of model performance) in the analysis, including whether the data were partitioned, considering any sample size requirements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112–119</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applicable (no development); TCGA-LUAD used only as the apparent-performance reference.</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12b</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Depending on the type of model, describe how predictors were handled in the analyses (functional form, rescaling, transformation, or any standardisation)</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157–160</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applicable (no development); within-cohort z-scoring of expression as registered.</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12c</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Specify the type of model, rationale, all model building steps, including any hyperparameter tuning, and method for internal validation</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applicable: no model was built or refitted.</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12d</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Describe if and how any heterogeneity in estimates of model parameter values and model performance was handled and quantified across clusters (eg, hospitals, countries). See TRIPOD-Cluster for additional considerations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190–198; 213–221</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Cohorts as clusters: random-effects pooling with leave-one-cohort-out estimates; cluster bootstrap and CR2 multilevel cross-check.</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12e</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Specify all measures and plots used (and their rationale) to evaluate model performance (eg, discrimination, calibration, clinical utility) and, if relevant, to compare multiple models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168–175; 177–181; 184–198; 200–211</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C-index, HR per SD, Uno's C-index, time-dependent AUC, log-rank test, RMST; calibration not assessed (lines 419–421).</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12f</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Describe any model updating (eg, recalibration) arising from the model evaluation, either overall or for particular sociodemographic groups or settings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157–160</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 updating: published coefficients applied verbatim.</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12g</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For model evaluation, describe how the model predictions were calculated (eg, formula, code, object, application programming interface)</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157–160; 242–248</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Formula and code (Code availability, lines 441–443).</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Class imbalance</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13</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If class imbalance methods were used, state why and how this was done, and any subsequent methods to recalibrate the model or the model predictions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applicable: time-to-event outcome; no class imbalance methods.</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Fairness</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14</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Describe any approaches that were used to address model fairness and their rationale</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addressed (no sociodemographic data beyond age and sex).</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Model output</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15</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Specify the output of the prediction model (eg, probabilities, classification). Provide details and rationale for any classification and how the thresholds were identified</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157–160</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applicable (no development): continuous risk score; median split only for log-rank tests and Kaplan–Meier curves.</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Training versus evaluation</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16</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Identify any differences between the development and evaluation data in healthcare setting, eligibility criteria, outcome, and predictors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372–383</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Platforms and library types in Table 2; gene coverage in Figure 2.</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Ethical approval</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17</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Name the institutional research board or ethics committee that approved the study and describe the participant informed consent or the ethics committee waiver of informed consent</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432–433</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Public, de-identified data.</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Funding</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18a</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Give the source of funding and the role of the funders for the present study</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445–447</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Conflicts of interest</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18b</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Declare any conflicts of interest and financial disclosures for all authors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444</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Protocol</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18c</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Indicate where the study protocol can be accessed or state that a protocol was not prepared</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81–96</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osf.io/qckvr; deviations in Supplementary File 1.</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Registration</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18d</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Provide registration information for the study, including register name and registration number, or state that the study was not registered</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81–96</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Open Science Framework, osf.io/qckvr; Updates 1–4.</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Data sharing</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18e</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Provide details of the availability of the study data</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437–440</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Code sharing</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18f</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Provide details of the availability of the analytical code</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242–248; 441–443</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Patient and public involvement</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19</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Provide details of any patient and public involvement during the design, conduct, reporting, interpretation, or dissemination of the study or state no involvement</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435–436</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Participants</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20a</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Describe the flow of participants through the study, including the number of participants with and without the outcome and, if applicable, a summary of the follow-up time. A diagram may be helpful</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258–262; 264–271</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Table 2 (patients, deaths, median follow-up); Figure 1 (selection of signatures); Figure 2 (coverage).</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20b</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Report the characteristics overall and, where applicable, for each data source or setting, including the key dates, key predictors (including demographics), treatments received, sample size, number of outcome events, follow-up time, and amount of missing data. A table may be helpful. Report any differences across key demographic groups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258–262</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Table 2 (age, sex, stage with missing values, deaths, follow-up).</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20c</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For model evaluation, show a comparison with the development data of the distribution of important predictors (demographics, predictors, and outcome)</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258–262</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Table 2 gives TCGA-LUAD (development data) beside the evaluation cohorts; signature gene coverage in Figure 2.</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Model development</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21</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Specify the number of participants and outcome events in each analysis (eg, for model development, hyperparameter tuning, model evaluation)</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258–262; 264–271</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Per pair: Table 3 and Supplementary Tables S6–S8.</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Model specification</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22</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Provide details of the full prediction model (eg, formula, code, object, application programming interface) to allow predictions in new individuals and to enable third party evaluation and implementation, including any restrictions to access or reuse (eg, freely available, proprietary)</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157–160</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applicable (no development); the published models are given in Table 1 and Supplementary Table S4.</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Model performance</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23a</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Report model performance estimates with confidence intervals, including for any key subgroups (eg, sociodemographic). Consider plots to aid presentation</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273–283; 285–291; 293–302</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Table 3; Figures 3–4; Supplementary Tables S6–S8; stage I–II subgroup in Table 5.</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23b</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If examined, report results of any heterogeneity in model performance across clusters. See TRIPOD-Cluster for additional details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303–309; 318–319</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Figure 5; Table 4; Supplementary Table S10.</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Model updating</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24</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Report the results from any model updating, including the updated model and subsequent performance</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applicable: no updating.</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Interpretation</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25</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Give an overall interpretation of the main results, including issues of fairness in the context of the objectives and previous studies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343–400</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Fairness not examined (item 14).</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Limitations</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26</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Discuss any limitations of the study (such as a non-representative sample, sample size, overfitting, missing data) and their effects on any biases, statistical uncertainty, and generalisability</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363–371; 372–383; 408–423</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Usability of the model in the context of current care</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27a</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Describe how poor quality or unavailable input data (eg, predictor values) should be assessed and handled when implementing the prediction model</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applicable (no development); handling of unmeasurable genes in validation: lines 158–159.</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27b</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Specify whether users will be required to interact in the handling of the input data or use of the model, and what level of expertise is required of users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applicable: no model is proposed for use.</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27c</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Discuss any next steps for future research, with a specific view to applicability and generalisability of the model</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393–400; 425–430</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r>
    </w:tbl>
    <w:p>
      <w:pPr>
        <w:pStyle w:val="Heading1"/>
        <w:spacing w:after="120" w:before="300"/>
      </w:pPr>
      <w:r>
        <w:rPr>
          <w:rFonts w:ascii="Times New Roman" w:cs="Times New Roman" w:eastAsia="Times New Roman" w:hAnsi="Times New Roman"/>
        </w:rPr>
        <w:t xml:space="preserve">TRIPOD+AI for Abstracts</w:t>
      </w:r>
    </w:p>
    <w:tbl>
      <w:tblPr>
        <w:tblW w:type="dxa" w:w="13870"/>
        <w:tblBorders>
          <w:top w:val="single" w:color="auto" w:sz="4"/>
          <w:left w:val="single" w:color="auto" w:sz="4"/>
          <w:bottom w:val="single" w:color="auto" w:sz="4"/>
          <w:right w:val="single" w:color="auto" w:sz="4"/>
          <w:insideH w:val="single" w:color="auto" w:sz="4"/>
          <w:insideV w:val="single" w:color="auto" w:sz="4"/>
        </w:tblBorders>
      </w:tblPr>
      <w:tblGrid>
        <w:gridCol w:w="1500"/>
        <w:gridCol w:w="560"/>
        <w:gridCol w:w="5300"/>
        <w:gridCol w:w="1650"/>
        <w:gridCol w:w="4860"/>
      </w:tblGrid>
      <w:tr>
        <w:trPr>
          <w:tblHeader/>
        </w:trPr>
        <w:tc>
          <w:tcPr>
            <w:tcW w:type="dxa" w:w="15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Section</w:t>
            </w:r>
          </w:p>
        </w:tc>
        <w:tc>
          <w:tcPr>
            <w:tcW w:type="dxa" w:w="56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Item</w:t>
            </w:r>
          </w:p>
        </w:tc>
        <w:tc>
          <w:tcPr>
            <w:tcW w:type="dxa" w:w="53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Checklist item</w:t>
            </w:r>
          </w:p>
        </w:tc>
        <w:tc>
          <w:tcPr>
            <w:tcW w:type="dxa" w:w="165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Reported on line(s)</w:t>
            </w:r>
          </w:p>
        </w:tc>
        <w:tc>
          <w:tcPr>
            <w:tcW w:type="dxa" w:w="486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Comment</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Title</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Identify the study as developing or evaluating the performance of a multivariable prediction model, the target population, and the outcome to be predicted</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1–3</w:t>
            </w:r>
          </w:p>
        </w:tc>
        <w:tc>
          <w:tcPr>
            <w:tcW w:type="dxa" w:w="48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Outcome in line 20.</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Background</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Provide a brief explanation of the healthcare context and rationale for developing or evaluating the performance of all models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12–14</w:t>
            </w:r>
          </w:p>
        </w:tc>
        <w:tc>
          <w:tcPr>
            <w:tcW w:type="dxa" w:w="48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Objectives</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3</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Specify the study objectives, including whether the study describes model development, evaluation, or both</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15–23</w:t>
            </w:r>
          </w:p>
        </w:tc>
        <w:tc>
          <w:tcPr>
            <w:tcW w:type="dxa" w:w="48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Evaluation of published models (H1–H3).</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Methods</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4</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Describe the sources of data</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16–18</w:t>
            </w:r>
          </w:p>
        </w:tc>
        <w:tc>
          <w:tcPr>
            <w:tcW w:type="dxa" w:w="48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5</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Describe the eligibility criteria and setting where the data were collected</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18–19</w:t>
            </w:r>
          </w:p>
        </w:tc>
        <w:tc>
          <w:tcPr>
            <w:tcW w:type="dxa" w:w="48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Signature–cohort eligibility; cohorts named in the main text.</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6</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Specify the outcome to be predicted by the model, including time horizon of predictions in case of prognostic models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20</w:t>
            </w:r>
          </w:p>
        </w:tc>
        <w:tc>
          <w:tcPr>
            <w:tcW w:type="dxa" w:w="48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Overall survival; time horizons in the main text (lines 186–187).</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7</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Specify the type of model, a summary of the model-building steps, and the method for internal validation</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w:t>
            </w:r>
          </w:p>
        </w:tc>
        <w:tc>
          <w:tcPr>
            <w:tcW w:type="dxa" w:w="48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applicable (evaluation only).</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8</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Specify the measures used to assess model performance (eg, discrimination, calibration, clinical utility)</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19–22</w:t>
            </w:r>
          </w:p>
        </w:tc>
        <w:tc>
          <w:tcPr>
            <w:tcW w:type="dxa" w:w="48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Results</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9</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Report the number of participants and outcome events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16–17</w:t>
            </w:r>
          </w:p>
        </w:tc>
        <w:tc>
          <w:tcPr>
            <w:tcW w:type="dxa" w:w="48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10</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Summarise the predictors in the final model</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w:t>
            </w:r>
          </w:p>
        </w:tc>
        <w:tc>
          <w:tcPr>
            <w:tcW w:type="dxa" w:w="48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applicable (evaluation only); 15 signatures, 102 genes (line 15).</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11</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Report model performance estimates (with confidence intervals)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24–33</w:t>
            </w:r>
          </w:p>
        </w:tc>
        <w:tc>
          <w:tcPr>
            <w:tcW w:type="dxa" w:w="48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Discussion</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12</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Give an overall interpretation of the main results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34–38</w:t>
            </w:r>
          </w:p>
        </w:tc>
        <w:tc>
          <w:tcPr>
            <w:tcW w:type="dxa" w:w="48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Registration</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13</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Give the registration number and name of the registry or repository</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15</w:t>
            </w:r>
          </w:p>
        </w:tc>
        <w:tc>
          <w:tcPr>
            <w:tcW w:type="dxa" w:w="48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osf.io/qckvr.</w:t>
            </w:r>
          </w:p>
        </w:tc>
      </w:tr>
    </w:tbl>
    <w:sectPr>
      <w:footerReference w:type="default" r:id="rId7"/>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TRIPOD+AI checklist</dc:title>
  <cp:revision>1</cp:revision>
  <dcterms:created xsi:type="dcterms:W3CDTF">2026-10-24T14:08:51.195Z</dcterms:created>
  <dcterms:modified xsi:type="dcterms:W3CDTF">2026-10-24T14:08:51.196Z</dcterms:modified>
</cp:coreProperties>
</file>

<file path=docProps/custom.xml><?xml version="1.0" encoding="utf-8"?>
<Properties xmlns="http://schemas.openxmlformats.org/officeDocument/2006/custom-properties" xmlns:vt="http://schemas.openxmlformats.org/officeDocument/2006/docPropsVTypes"/>
</file>