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Times New Roman" w:cs="Times New Roman" w:eastAsia="Times New Roman" w:hAnsi="Times New Roman"/>
          <w:b/>
          <w:bCs/>
          <w:sz w:val="30"/>
          <w:szCs w:val="30"/>
        </w:rPr>
        <w:t xml:space="preserve">REMARK checklist</w:t>
      </w:r>
    </w:p>
    <w:p>
      <w:pPr>
        <w:spacing w:after="240"/>
      </w:pPr>
      <w:r>
        <w:rPr>
          <w:rFonts w:ascii="Times New Roman" w:cs="Times New Roman" w:eastAsia="Times New Roman" w:hAnsi="Times New Roman"/>
          <w:i/>
          <w:iCs/>
          <w:sz w:val="22"/>
          <w:szCs w:val="22"/>
        </w:rPr>
        <w:t xml:space="preserve">Published lncRNA prognostic signatures for lung adenocarcinoma share a modest transportable signal, but none is individually validated: a pre-registered benchmark</w:t>
      </w:r>
    </w:p>
    <w:p>
      <w:pPr>
        <w:spacing w:after="120" w:line="300"/>
      </w:pPr>
      <w:r>
        <w:rPr>
          <w:rFonts w:ascii="Times New Roman" w:cs="Times New Roman" w:eastAsia="Times New Roman" w:hAnsi="Times New Roman"/>
        </w:rPr>
        <w:t xml:space="preserve">Checklist items from McShane LM et al. REporting recommendations for tumour MARKer prognostic studies (REMARK). Br J Cancer 2005;93:387–91, as given in Altman DG et al. PLoS Med 2012;9:e1001216. Line numbers refer to the manuscript file ManuscriptDraft5_v26.docx (continuous line numbering).</w:t>
      </w:r>
    </w:p>
    <w:tbl>
      <w:tblPr>
        <w:tblW w:type="dxa" w:w="13870"/>
        <w:tblBorders>
          <w:top w:val="single" w:color="auto" w:sz="4"/>
          <w:left w:val="single" w:color="auto" w:sz="4"/>
          <w:bottom w:val="single" w:color="auto" w:sz="4"/>
          <w:right w:val="single" w:color="auto" w:sz="4"/>
          <w:insideH w:val="single" w:color="auto" w:sz="4"/>
          <w:insideV w:val="single" w:color="auto" w:sz="4"/>
        </w:tblBorders>
      </w:tblPr>
      <w:tblGrid>
        <w:gridCol w:w="1700"/>
        <w:gridCol w:w="560"/>
        <w:gridCol w:w="5600"/>
        <w:gridCol w:w="1650"/>
        <w:gridCol w:w="4360"/>
      </w:tblGrid>
      <w:tr>
        <w:trPr>
          <w:tblHeader/>
        </w:trPr>
        <w:tc>
          <w:tcPr>
            <w:tcW w:type="dxa" w:w="1700"/>
            <w:tcBorders>
              <w:top w:val="single" w:color="808080" w:sz="4"/>
              <w:left w:val="none" w:color="FFFFFF" w:sz="0"/>
              <w:bottom w:val="single" w:color="808080" w:sz="4"/>
              <w:right w:val="none" w:color="FFFFFF" w:sz="0"/>
            </w:tcBorders>
            <w:shd w:fill="E7E6E6" w:color="auto" w:val="clear"/>
            <w:tcMar>
              <w:top w:type="dxa" w:w="40"/>
              <w:left w:type="dxa" w:w="80"/>
              <w:bottom w:type="dxa" w:w="40"/>
              <w:right w:type="dxa" w:w="80"/>
            </w:tcMar>
            <w:vAlign w:val="top"/>
          </w:tcPr>
          <w:p>
            <w:pPr>
              <w:spacing w:line="240"/>
            </w:pPr>
            <w:r>
              <w:rPr>
                <w:rFonts w:ascii="Times New Roman" w:cs="Times New Roman" w:eastAsia="Times New Roman" w:hAnsi="Times New Roman"/>
                <w:b/>
                <w:bCs/>
                <w:sz w:val="17"/>
                <w:szCs w:val="17"/>
              </w:rPr>
              <w:t xml:space="preserve">Section</w:t>
            </w:r>
          </w:p>
        </w:tc>
        <w:tc>
          <w:tcPr>
            <w:tcW w:type="dxa" w:w="560"/>
            <w:tcBorders>
              <w:top w:val="single" w:color="808080" w:sz="4"/>
              <w:left w:val="none" w:color="FFFFFF" w:sz="0"/>
              <w:bottom w:val="single" w:color="808080" w:sz="4"/>
              <w:right w:val="none" w:color="FFFFFF" w:sz="0"/>
            </w:tcBorders>
            <w:shd w:fill="E7E6E6" w:color="auto" w:val="clear"/>
            <w:tcMar>
              <w:top w:type="dxa" w:w="40"/>
              <w:left w:type="dxa" w:w="80"/>
              <w:bottom w:type="dxa" w:w="40"/>
              <w:right w:type="dxa" w:w="80"/>
            </w:tcMar>
            <w:vAlign w:val="top"/>
          </w:tcPr>
          <w:p>
            <w:pPr>
              <w:spacing w:line="240"/>
            </w:pPr>
            <w:r>
              <w:rPr>
                <w:rFonts w:ascii="Times New Roman" w:cs="Times New Roman" w:eastAsia="Times New Roman" w:hAnsi="Times New Roman"/>
                <w:b/>
                <w:bCs/>
                <w:sz w:val="17"/>
                <w:szCs w:val="17"/>
              </w:rPr>
              <w:t xml:space="preserve">Item</w:t>
            </w:r>
          </w:p>
        </w:tc>
        <w:tc>
          <w:tcPr>
            <w:tcW w:type="dxa" w:w="5600"/>
            <w:tcBorders>
              <w:top w:val="single" w:color="808080" w:sz="4"/>
              <w:left w:val="none" w:color="FFFFFF" w:sz="0"/>
              <w:bottom w:val="single" w:color="808080" w:sz="4"/>
              <w:right w:val="none" w:color="FFFFFF" w:sz="0"/>
            </w:tcBorders>
            <w:shd w:fill="E7E6E6" w:color="auto" w:val="clear"/>
            <w:tcMar>
              <w:top w:type="dxa" w:w="40"/>
              <w:left w:type="dxa" w:w="80"/>
              <w:bottom w:type="dxa" w:w="40"/>
              <w:right w:type="dxa" w:w="80"/>
            </w:tcMar>
            <w:vAlign w:val="top"/>
          </w:tcPr>
          <w:p>
            <w:pPr>
              <w:spacing w:line="240"/>
            </w:pPr>
            <w:r>
              <w:rPr>
                <w:rFonts w:ascii="Times New Roman" w:cs="Times New Roman" w:eastAsia="Times New Roman" w:hAnsi="Times New Roman"/>
                <w:b/>
                <w:bCs/>
                <w:sz w:val="17"/>
                <w:szCs w:val="17"/>
              </w:rPr>
              <w:t xml:space="preserve">Checklist item</w:t>
            </w:r>
          </w:p>
        </w:tc>
        <w:tc>
          <w:tcPr>
            <w:tcW w:type="dxa" w:w="1650"/>
            <w:tcBorders>
              <w:top w:val="single" w:color="808080" w:sz="4"/>
              <w:left w:val="none" w:color="FFFFFF" w:sz="0"/>
              <w:bottom w:val="single" w:color="808080" w:sz="4"/>
              <w:right w:val="none" w:color="FFFFFF" w:sz="0"/>
            </w:tcBorders>
            <w:shd w:fill="E7E6E6" w:color="auto" w:val="clear"/>
            <w:tcMar>
              <w:top w:type="dxa" w:w="40"/>
              <w:left w:type="dxa" w:w="80"/>
              <w:bottom w:type="dxa" w:w="40"/>
              <w:right w:type="dxa" w:w="80"/>
            </w:tcMar>
            <w:vAlign w:val="top"/>
          </w:tcPr>
          <w:p>
            <w:pPr>
              <w:spacing w:line="240"/>
            </w:pPr>
            <w:r>
              <w:rPr>
                <w:rFonts w:ascii="Times New Roman" w:cs="Times New Roman" w:eastAsia="Times New Roman" w:hAnsi="Times New Roman"/>
                <w:b/>
                <w:bCs/>
                <w:sz w:val="17"/>
                <w:szCs w:val="17"/>
              </w:rPr>
              <w:t xml:space="preserve">Reported on line(s)</w:t>
            </w:r>
          </w:p>
        </w:tc>
        <w:tc>
          <w:tcPr>
            <w:tcW w:type="dxa" w:w="4360"/>
            <w:tcBorders>
              <w:top w:val="single" w:color="808080" w:sz="4"/>
              <w:left w:val="none" w:color="FFFFFF" w:sz="0"/>
              <w:bottom w:val="single" w:color="808080" w:sz="4"/>
              <w:right w:val="none" w:color="FFFFFF" w:sz="0"/>
            </w:tcBorders>
            <w:shd w:fill="E7E6E6" w:color="auto" w:val="clear"/>
            <w:tcMar>
              <w:top w:type="dxa" w:w="40"/>
              <w:left w:type="dxa" w:w="80"/>
              <w:bottom w:type="dxa" w:w="40"/>
              <w:right w:type="dxa" w:w="80"/>
            </w:tcMar>
            <w:vAlign w:val="top"/>
          </w:tcPr>
          <w:p>
            <w:pPr>
              <w:spacing w:line="240"/>
            </w:pPr>
            <w:r>
              <w:rPr>
                <w:rFonts w:ascii="Times New Roman" w:cs="Times New Roman" w:eastAsia="Times New Roman" w:hAnsi="Times New Roman"/>
                <w:b/>
                <w:bCs/>
                <w:sz w:val="17"/>
                <w:szCs w:val="17"/>
              </w:rPr>
              <w:t xml:space="preserve">Comment</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Introduction</w:t>
            </w: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State the marker examined, the study objectives, and any pre-specified hypotheses.</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72–78; 81–96</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Markers: 15 published lncRNA signatures (Table 1); hypotheses H1–H3 pre-registered.</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Materials and methods: patients</w:t>
            </w: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2</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Describe the characteristics (for example, disease stage or co-morbidities) of the study patients, including their source and inclusion and exclusion criteria.</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112–119; 258–262</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Table 2.</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3</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Describe treatments received and how chosen (for example, randomized or rule-based).</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226–227</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Treatment not recorded consistently in the public cohorts; GSE31210 sensitivity analysis.</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Specimen characteristics</w:t>
            </w: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4</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Describe type of biological material used (including control samples) and methods of preservation and storage.</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114–117; 121–132</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Primary tumour tissue; preservation as described in the source studies (refs 2, 30–35).</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Assay methods</w:t>
            </w: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5</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Specify the assay method used and provide (or reference) a detailed protocol, including specific reagents or kits used, quality control procedures, reproducibility assessments, quantitation methods, and scoring and reporting protocols. Specify whether and how assays were performed blinded to the study endpoint.</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121–132; 134–147; 157–160</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Platforms in Table 2. Assays were done by the source studies; scoring was automated and blind to outcome.</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Study design</w:t>
            </w: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6</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State the method of case selection, including whether prospective or retrospective and whether stratification or matching (for example, by stage of disease or age) was used. Specify the time period from which cases were taken, the end of the follow-up period, and the median follow-up time.</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81–96; 114–117</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Retrospective analysis of public cohorts; no matching. Median follow-up in Table 2; accrual periods in the source studies (refs 2, 30–35).</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7</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Precisely define all clinical endpoints examined.</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118</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Overall survival.</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8</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List all candidate variables initially examined or considered for inclusion in models.</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106–110; 177–181</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Published signature genes (Table 1, Supplementary Table S4); stage, sex and age.</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9</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Give rationale for sample size; if the study was designed to detect a specified effect size, give the target power and effect size.</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57–59; 206–211; 323–328</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Sizes fixed by the public cohorts; power at true C-index 0.60, 0.65 and 0.70 (Supplementary Table S9).</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Statistical analysis methods</w:t>
            </w: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10</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Specify all statistical methods, including details of any variable selection procedures and other model-building issues, how model assumptions were verified, and how missing data were handled.</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156–228</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Proportional hazards: lines 188–190; missing data: lines 180–181; no variable selection (published models).</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11</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Clarify how marker values were handled in the analyses; if relevant, describe methods used for cutpoint determination.</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157–160; 185–190</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Continuous standardised score; median split only for log-rank tests and Kaplan–Meier curves; no cutpoint optimisation.</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Results: data</w:t>
            </w: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12</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Describe the flow of patients through the study, including the number of patients included in each stage of the analysis (a diagram may be helpful) and reasons for dropout. Specifically, both overall and for each subgroup extensively examined report the number of patients and the number of events.</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258–262; 264–271</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Table 2; Table 3 and Supplementary Tables S6–S8 (patients and deaths per pair); Figure 1 (signature selection).</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13</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Report distributions of basic demographic characteristics (at least age and sex), standard (disease-specific) prognostic variables, and tumor marker, including numbers of missing values.</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258–262</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Table 2 (age, sex, stage with missing values).</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Analysis and presentation</w:t>
            </w: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14</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Show the relation of the marker to standard prognostic variables.</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285–291</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Unadjusted and stage-, sex- and age-adjusted HRs per SD (Table 3; Supplementary Tables S7–S8).</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15</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Present univariable analyses showing the relation between the marker and outcome, with the estimated effect (for example, hazard ratio and survival probability). Preferably provide similar analyses for all other variables being analyzed. For the effect of a tumor marker on a time-to-event outcome, a Kaplan-Meier plot is recommended.</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293–302; 645–646</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HR per SD (Table 3, Figure 4, Supplementary Table S8); Kaplan–Meier curves (Supplementary Figure S2); stage (Supplementary Table S1).</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16</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For key multivariable analyses, report estimated effects (for example, hazard ratio) with confidence intervals for the marker and, at least for the final model, all other variables in the model.</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285–291</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Adjusted HR per SD with 95% CI (Supplementary Table S7); stage HRs in Supplementary Table S1.</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17</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Among reported results, provide estimated effects with confidence intervals from an analysis in which the marker and standard prognostic variables are included, regardless of their statistical significance.</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285–291</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All 26 pairs reported (Table 3; Supplementary Table S7).</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18</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If done, report results of further investigations, such as checking assumptions, sensitivity analyses, and internal validation.</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280–283; 316–320</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Proportional hazards (lines 300); Table 5; Supplementary Tables S10–S11.</w:t>
            </w: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Discussion</w:t>
            </w: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19</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Interpret the results in the context of the pre-specified hypotheses and other relevant studies; include a discussion of limitations of the study.</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343–400; 408–423</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p>
        </w:tc>
      </w:tr>
      <w:tr>
        <w:trPr>
          <w:cantSplit/>
        </w:trPr>
        <w:tc>
          <w:tcPr>
            <w:tcW w:type="dxa" w:w="17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p>
        </w:tc>
        <w:tc>
          <w:tcPr>
            <w:tcW w:type="dxa" w:w="5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20</w:t>
            </w:r>
          </w:p>
        </w:tc>
        <w:tc>
          <w:tcPr>
            <w:tcW w:type="dxa" w:w="560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Discuss implications for future research and clinical value.</w:t>
            </w:r>
          </w:p>
        </w:tc>
        <w:tc>
          <w:tcPr>
            <w:tcW w:type="dxa" w:w="165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r>
              <w:rPr>
                <w:rFonts w:ascii="Times New Roman" w:cs="Times New Roman" w:eastAsia="Times New Roman" w:hAnsi="Times New Roman"/>
                <w:b w:val="false"/>
                <w:bCs w:val="false"/>
                <w:sz w:val="17"/>
                <w:szCs w:val="17"/>
              </w:rPr>
              <w:t xml:space="preserve">393–400; 425–430</w:t>
            </w:r>
          </w:p>
        </w:tc>
        <w:tc>
          <w:tcPr>
            <w:tcW w:type="dxa" w:w="4360"/>
            <w:tcBorders>
              <w:top w:val="single" w:color="808080" w:sz="4"/>
              <w:left w:val="none" w:color="FFFFFF" w:sz="0"/>
              <w:bottom w:val="single" w:color="808080" w:sz="4"/>
              <w:right w:val="none" w:color="FFFFFF" w:sz="0"/>
            </w:tcBorders>
            <w:tcMar>
              <w:top w:type="dxa" w:w="40"/>
              <w:left w:type="dxa" w:w="80"/>
              <w:bottom w:type="dxa" w:w="40"/>
              <w:right w:type="dxa" w:w="80"/>
            </w:tcMar>
            <w:vAlign w:val="top"/>
          </w:tcPr>
          <w:p>
            <w:pPr>
              <w:spacing w:line="240"/>
            </w:pPr>
          </w:p>
        </w:tc>
      </w:tr>
    </w:tbl>
    <w:sectPr>
      <w:footerReference w:type="default" r:id="rId7"/>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REMARK checklist</dc:title>
  <cp:revision>1</cp:revision>
  <dcterms:created xsi:type="dcterms:W3CDTF">2026-10-24T14:39:07.359Z</dcterms:created>
  <dcterms:modified xsi:type="dcterms:W3CDTF">2026-10-24T14:39:07.359Z</dcterms:modified>
</cp:coreProperties>
</file>

<file path=docProps/custom.xml><?xml version="1.0" encoding="utf-8"?>
<Properties xmlns="http://schemas.openxmlformats.org/officeDocument/2006/custom-properties" xmlns:vt="http://schemas.openxmlformats.org/officeDocument/2006/docPropsVTypes"/>
</file>