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Supplementary File 1. Literature search, registration and deviations from the registered protocol</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pStyle w:val="Heading1"/>
        <w:spacing w:after="120" w:before="300"/>
      </w:pPr>
      <w:r>
        <w:rPr>
          <w:rFonts w:ascii="Times New Roman" w:cs="Times New Roman" w:eastAsia="Times New Roman" w:hAnsi="Times New Roman"/>
        </w:rPr>
        <w:t xml:space="preserve">1. Literature search</w:t>
      </w:r>
    </w:p>
    <w:p>
      <w:pPr>
        <w:spacing w:after="120" w:line="300"/>
      </w:pPr>
      <w:r>
        <w:rPr>
          <w:rFonts w:ascii="Times New Roman" w:cs="Times New Roman" w:eastAsia="Times New Roman" w:hAnsi="Times New Roman"/>
        </w:rPr>
        <w:t xml:space="preserve">Database: PubMed. Searches run from 12 September to 3 October 2026 (last search 3 October 2026). Publication years: 2018 onwards. Query, as entered:</w:t>
      </w:r>
    </w:p>
    <w:p>
      <w:pPr>
        <w:pBdr>
          <w:left w:val="single" w:color="BFBFBF" w:sz="12" w:space="8"/>
        </w:pBdr>
        <w:spacing w:after="160" w:before="60" w:line="276"/>
        <w:ind w:left="360"/>
      </w:pPr>
      <w:r>
        <w:rPr>
          <w:rFonts w:ascii="Courier New" w:cs="Courier New" w:eastAsia="Courier New" w:hAnsi="Courier New"/>
          <w:sz w:val="19"/>
          <w:szCs w:val="19"/>
        </w:rPr>
        <w:t xml:space="preserve">("lung adenocarcinoma"[Title/Abstract]) AND (lncRNA OR "long non-coding RNA" OR miRNA OR microRNA) AND (signature OR "prognostic model" OR "risk score" OR "risk model") AND (prognos* OR survival)</w:t>
      </w:r>
    </w:p>
    <w:p>
      <w:pPr>
        <w:spacing w:after="120" w:line="300"/>
      </w:pPr>
      <w:r>
        <w:rPr>
          <w:rFonts w:ascii="Times New Roman" w:cs="Times New Roman" w:eastAsia="Times New Roman" w:hAnsi="Times New Roman"/>
        </w:rPr>
        <w:t xml:space="preserve">The search returned 404 records, all of which were screened. Titles and abstracts, and then 90 full texts, were screened by one investigator against the criteria below. Fifteen signatures met all criteria (Figure 1 of the manuscript).</w:t>
      </w:r>
    </w:p>
    <w:p>
      <w:pPr>
        <w:spacing w:after="120" w:line="300"/>
      </w:pPr>
      <w:r>
        <w:rPr>
          <w:rFonts w:ascii="Times New Roman" w:cs="Times New Roman" w:eastAsia="Times New Roman" w:hAnsi="Times New Roman"/>
          <w:b/>
          <w:bCs/>
        </w:rPr>
        <w:t xml:space="preserve">Inclusion criteria</w:t>
      </w:r>
    </w:p>
    <w:p>
      <w:pPr>
        <w:pStyle w:val="ListParagraph"/>
        <w:numPr>
          <w:ilvl w:val="0"/>
          <w:numId w:val="2"/>
        </w:numPr>
        <w:spacing w:after="60" w:line="276"/>
      </w:pPr>
      <w:r>
        <w:rPr>
          <w:rFonts w:ascii="Times New Roman" w:cs="Times New Roman" w:eastAsia="Times New Roman" w:hAnsi="Times New Roman"/>
        </w:rPr>
        <w:t xml:space="preserve">A prognostic model for overall survival in lung adenocarcinoma (LUAD), or in non-small-cell lung cancer with LUAD reported separately.</w:t>
      </w:r>
    </w:p>
    <w:p>
      <w:pPr>
        <w:pStyle w:val="ListParagraph"/>
        <w:numPr>
          <w:ilvl w:val="0"/>
          <w:numId w:val="2"/>
        </w:numPr>
        <w:spacing w:after="60" w:line="276"/>
      </w:pPr>
      <w:r>
        <w:rPr>
          <w:rFonts w:ascii="Times New Roman" w:cs="Times New Roman" w:eastAsia="Times New Roman" w:hAnsi="Times New Roman"/>
        </w:rPr>
        <w:t xml:space="preserve">The full gene list with Cox regression coefficients.</w:t>
      </w:r>
    </w:p>
    <w:p>
      <w:pPr>
        <w:pStyle w:val="ListParagraph"/>
        <w:numPr>
          <w:ilvl w:val="0"/>
          <w:numId w:val="2"/>
        </w:numPr>
        <w:spacing w:after="60" w:line="276"/>
      </w:pPr>
      <w:r>
        <w:rPr>
          <w:rFonts w:ascii="Times New Roman" w:cs="Times New Roman" w:eastAsia="Times New Roman" w:hAnsi="Times New Roman"/>
        </w:rPr>
        <w:t xml:space="preserve">A stated risk-score formula.</w:t>
      </w:r>
    </w:p>
    <w:p>
      <w:pPr>
        <w:spacing w:after="120" w:line="300"/>
      </w:pPr>
      <w:r>
        <w:rPr>
          <w:rFonts w:ascii="Times New Roman" w:cs="Times New Roman" w:eastAsia="Times New Roman" w:hAnsi="Times New Roman"/>
          <w:b/>
          <w:bCs/>
        </w:rPr>
        <w:t xml:space="preserve">Exclusion criteria</w:t>
      </w:r>
    </w:p>
    <w:p>
      <w:pPr>
        <w:pStyle w:val="ListParagraph"/>
        <w:numPr>
          <w:ilvl w:val="0"/>
          <w:numId w:val="2"/>
        </w:numPr>
        <w:spacing w:after="60" w:line="276"/>
      </w:pPr>
      <w:r>
        <w:rPr>
          <w:rFonts w:ascii="Times New Roman" w:cs="Times New Roman" w:eastAsia="Times New Roman" w:hAnsi="Times New Roman"/>
        </w:rPr>
        <w:t xml:space="preserve">Reviews.</w:t>
      </w:r>
    </w:p>
    <w:p>
      <w:pPr>
        <w:pStyle w:val="ListParagraph"/>
        <w:numPr>
          <w:ilvl w:val="0"/>
          <w:numId w:val="2"/>
        </w:numPr>
        <w:spacing w:after="60" w:line="276"/>
      </w:pPr>
      <w:r>
        <w:rPr>
          <w:rFonts w:ascii="Times New Roman" w:cs="Times New Roman" w:eastAsia="Times New Roman" w:hAnsi="Times New Roman"/>
        </w:rPr>
        <w:t xml:space="preserve">Models without coefficients.</w:t>
      </w:r>
    </w:p>
    <w:p>
      <w:pPr>
        <w:pStyle w:val="ListParagraph"/>
        <w:numPr>
          <w:ilvl w:val="0"/>
          <w:numId w:val="2"/>
        </w:numPr>
        <w:spacing w:after="60" w:line="276"/>
      </w:pPr>
      <w:r>
        <w:rPr>
          <w:rFonts w:ascii="Times New Roman" w:cs="Times New Roman" w:eastAsia="Times New Roman" w:hAnsi="Times New Roman"/>
        </w:rPr>
        <w:t xml:space="preserve">Models based only on clinical or immune variables.</w:t>
      </w:r>
    </w:p>
    <w:p>
      <w:pPr>
        <w:pStyle w:val="ListParagraph"/>
        <w:numPr>
          <w:ilvl w:val="0"/>
          <w:numId w:val="2"/>
        </w:numPr>
        <w:spacing w:after="60" w:line="276"/>
      </w:pPr>
      <w:r>
        <w:rPr>
          <w:rFonts w:ascii="Times New Roman" w:cs="Times New Roman" w:eastAsia="Times New Roman" w:hAnsi="Times New Roman"/>
        </w:rPr>
        <w:t xml:space="preserve">Non-human studies.</w:t>
      </w:r>
    </w:p>
    <w:p>
      <w:pPr>
        <w:pStyle w:val="ListParagraph"/>
        <w:numPr>
          <w:ilvl w:val="0"/>
          <w:numId w:val="2"/>
        </w:numPr>
        <w:spacing w:after="60" w:line="276"/>
      </w:pPr>
      <w:r>
        <w:rPr>
          <w:rFonts w:ascii="Times New Roman" w:cs="Times New Roman" w:eastAsia="Times New Roman" w:hAnsi="Times New Roman"/>
        </w:rPr>
        <w:t xml:space="preserve">Mixed-cancer cohorts without LUAD-specific results.</w:t>
      </w:r>
    </w:p>
    <w:p>
      <w:pPr>
        <w:spacing w:after="120" w:line="300"/>
      </w:pPr>
      <w:r>
        <w:rPr>
          <w:rFonts w:ascii="Times New Roman" w:cs="Times New Roman" w:eastAsia="Times New Roman" w:hAnsi="Times New Roman"/>
          <w:b/>
          <w:bCs/>
        </w:rPr>
        <w:t xml:space="preserve">Extraction.</w:t>
      </w:r>
      <w:r>
        <w:rPr>
          <w:rFonts w:ascii="Times New Roman" w:cs="Times New Roman" w:eastAsia="Times New Roman" w:hAnsi="Times New Roman"/>
        </w:rPr>
        <w:t xml:space="preserve"> Gene names and coefficients of the 15 signatures were extracted twice, independently and blind to each other, by two investigators (Supplementary Table S17). Two investigators recorded from the full texts whether each signature's authors had used each cohort for development, feature selection or validation (Supplementary Table S18).</w:t>
      </w:r>
    </w:p>
    <w:p>
      <w:pPr>
        <w:spacing w:after="120" w:line="300"/>
      </w:pPr>
      <w:r>
        <w:rPr>
          <w:rFonts w:ascii="Times New Roman" w:cs="Times New Roman" w:eastAsia="Times New Roman" w:hAnsi="Times New Roman"/>
          <w:b/>
          <w:bCs/>
        </w:rPr>
        <w:t xml:space="preserve">Reporting completeness.</w:t>
      </w:r>
      <w:r>
        <w:rPr>
          <w:rFonts w:ascii="Times New Roman" w:cs="Times New Roman" w:eastAsia="Times New Roman" w:hAnsi="Times New Roman"/>
        </w:rPr>
        <w:t xml:space="preserve"> Detailed extraction records were available for 76 of the 90 full texts; these 76 papers are the denominator of the reporting-completeness analysis. Each paper was matched to its PubMed record; its bibliographic details and codes are in Supplementary Table S19, and the item definitions in Supplementary File 2 and in the note to Table S19.</w:t>
      </w:r>
    </w:p>
    <w:p>
      <w:pPr>
        <w:pStyle w:val="Heading1"/>
        <w:spacing w:after="120" w:before="300"/>
      </w:pPr>
      <w:r>
        <w:rPr>
          <w:rFonts w:ascii="Times New Roman" w:cs="Times New Roman" w:eastAsia="Times New Roman" w:hAnsi="Times New Roman"/>
        </w:rPr>
        <w:t xml:space="preserve">2. Registration and updates</w:t>
      </w:r>
    </w:p>
    <w:p>
      <w:pPr>
        <w:spacing w:after="120" w:line="300"/>
      </w:pPr>
      <w:r>
        <w:rPr>
          <w:rFonts w:ascii="Times New Roman" w:cs="Times New Roman" w:eastAsia="Times New Roman" w:hAnsi="Times New Roman"/>
        </w:rPr>
        <w:t xml:space="preserve">The protocol was registered on the Open Science Framework (osf.io/qckvr) on 6 October 2026. Four updates were filed; their full texts are on the registration page. The inputs of the rebuilt analysis (v2) were frozen in version control before any v2 outcome analysis was run.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5300"/>
        <w:gridCol w:w="1580"/>
      </w:tblGrid>
      <w:tr>
        <w:trPr>
          <w:tblHeader/>
        </w:trPr>
        <w:tc>
          <w:tcPr>
            <w:tcW w:type="dxa" w:w="11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Date</w:t>
            </w:r>
          </w:p>
        </w:tc>
        <w:tc>
          <w:tcPr>
            <w:tcW w:type="dxa" w:w="1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Filing</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Content</w:t>
            </w:r>
          </w:p>
        </w:tc>
        <w:tc>
          <w:tcPr>
            <w:tcW w:type="dxa" w:w="158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Hypotheses H1–H3; risk score = Σ β × within-cohort z-scored expression; evaluability at ≥ 80% of genes; comparison with expression-matched random gene sets; Holm correction; three-way classification; secondary analyses.</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added; direction consistency pre-specified as a secondary exploratory outcome, after a post hoc observation in CPTAC-3 made with the earlier code (v0.3). The observation came from an inverted C-index direction and was corrected in Update 3.</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Reporting-completeness analysis widened from the 15 included signatures to 76 reviewed papers, with a second coder.</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errors found in v0.3; all code rebuilt from raw public data (v2). Lists the v0.3 results that had been seen (section 3), the changes to data sources and preparation, clarifications of registered wording, and the analyses added after registration (section 6).</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Freeze (git tag v2-preanalysis, commit 871d199)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Signatures, gene mapping, cohorts and coverage fixed in version control. Not an OSF filing; the tag was created locally and pushed to GitHub later the same day.</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Start of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Post-analysis disclosure: decisions between Update 3 and the freeze, changes after the freeze, the two departures from Update 3 (section 4) and the corrected text–table conflict rate.</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r>
    </w:tbl>
    <w:p>
      <w:pPr>
        <w:pStyle w:val="Heading1"/>
        <w:spacing w:after="120" w:before="300"/>
      </w:pPr>
      <w:r>
        <w:rPr>
          <w:rFonts w:ascii="Times New Roman" w:cs="Times New Roman" w:eastAsia="Times New Roman" w:hAnsi="Times New Roman"/>
        </w:rPr>
        <w:t xml:space="preserve">3. Results known before the v2 analysis</w:t>
      </w:r>
    </w:p>
    <w:p>
      <w:pPr>
        <w:spacing w:after="120" w:line="300"/>
      </w:pPr>
      <w:r>
        <w:rPr>
          <w:rFonts w:ascii="Times New Roman" w:cs="Times New Roman" w:eastAsia="Times New Roman" w:hAnsi="Times New Roman"/>
        </w:rPr>
        <w:t xml:space="preserve">Before Update 3, part of the data had been analysed with the earlier code (v0.3). These results, all superseded, had been seen (Update 3):</w:t>
      </w:r>
    </w:p>
    <w:p>
      <w:pPr>
        <w:pStyle w:val="ListParagraph"/>
        <w:numPr>
          <w:ilvl w:val="0"/>
          <w:numId w:val="2"/>
        </w:numPr>
        <w:spacing w:after="60" w:line="276"/>
      </w:pPr>
      <w:r>
        <w:rPr>
          <w:rFonts w:ascii="Times New Roman" w:cs="Times New Roman" w:eastAsia="Times New Roman" w:hAnsi="Times New Roman"/>
        </w:rPr>
        <w:t xml:space="preserve">TCGA-LUAD: apparent performance of 13 signatures (C-index 0.61–0.70).</w:t>
      </w:r>
    </w:p>
    <w:p>
      <w:pPr>
        <w:pStyle w:val="ListParagraph"/>
        <w:numPr>
          <w:ilvl w:val="0"/>
          <w:numId w:val="2"/>
        </w:numPr>
        <w:spacing w:after="60" w:line="276"/>
      </w:pPr>
      <w:r>
        <w:rPr>
          <w:rFonts w:ascii="Times New Roman" w:cs="Times New Roman" w:eastAsia="Times New Roman" w:hAnsi="Times New Roman"/>
        </w:rPr>
        <w:t xml:space="preserve">CPTAC-3 (150 patients, 38 deaths, under the v0.3 retrieval): H1–H3 for the 15 signatures, including the stage positive control (HR stage III vs I 2.65) and the classifications before and after the C-index direction error was corrected.</w:t>
      </w:r>
    </w:p>
    <w:p>
      <w:pPr>
        <w:pStyle w:val="ListParagraph"/>
        <w:numPr>
          <w:ilvl w:val="0"/>
          <w:numId w:val="2"/>
        </w:numPr>
        <w:spacing w:after="60" w:line="276"/>
      </w:pPr>
      <w:r>
        <w:rPr>
          <w:rFonts w:ascii="Times New Roman" w:cs="Times New Roman" w:eastAsia="Times New Roman" w:hAnsi="Times New Roman"/>
        </w:rPr>
        <w:t xml:space="preserve">GSE31210: two signatures, and H2 for Yao 2021 (stage-only C-index 0.678).</w:t>
      </w:r>
    </w:p>
    <w:p>
      <w:pPr>
        <w:pStyle w:val="ListParagraph"/>
        <w:numPr>
          <w:ilvl w:val="0"/>
          <w:numId w:val="2"/>
        </w:numPr>
        <w:spacing w:after="60" w:line="276"/>
      </w:pPr>
      <w:r>
        <w:rPr>
          <w:rFonts w:ascii="Times New Roman" w:cs="Times New Roman" w:eastAsia="Times New Roman" w:hAnsi="Times New Roman"/>
        </w:rPr>
        <w:t xml:space="preserve">GSE50081 and GSE30219: Yao 2021 only, and pooled Yao 2021 estimates across cohorts.</w:t>
      </w:r>
    </w:p>
    <w:p>
      <w:pPr>
        <w:pStyle w:val="ListParagraph"/>
        <w:numPr>
          <w:ilvl w:val="0"/>
          <w:numId w:val="2"/>
        </w:numPr>
        <w:spacing w:after="60" w:line="276"/>
      </w:pPr>
      <w:r>
        <w:rPr>
          <w:rFonts w:ascii="Times New Roman" w:cs="Times New Roman" w:eastAsia="Times New Roman" w:hAnsi="Times New Roman"/>
        </w:rPr>
        <w:t xml:space="preserve">An aggregate transportability analysis (Inconclusive), and a comparison of raw-score C-indices with C-indices of models refitted in each cohort. The refitted-model comparison was not registered, was not part of the v2 plan in Update 3, and is not reported.</w:t>
      </w:r>
    </w:p>
    <w:p>
      <w:pPr>
        <w:spacing w:after="120" w:line="300"/>
      </w:pPr>
      <w:r>
        <w:rPr>
          <w:rFonts w:ascii="Times New Roman" w:cs="Times New Roman" w:eastAsia="Times New Roman" w:hAnsi="Times New Roman"/>
        </w:rPr>
        <w:t xml:space="preserve">No survival analysis had been run in GSE81089 or GSE72094. When Update 3 was filed, the v2 cohorts had been built and described (patients, deaths, stage, follow-up), and no v2 score, C-index, hazard ratio or test had been computed.</w:t>
      </w:r>
    </w:p>
    <w:p>
      <w:pPr>
        <w:spacing w:after="120" w:line="300"/>
      </w:pPr>
      <w:r>
        <w:rPr>
          <w:rFonts w:ascii="Times New Roman" w:cs="Times New Roman" w:eastAsia="Times New Roman" w:hAnsi="Times New Roman"/>
        </w:rPr>
        <w:t xml:space="preserve">Where the v0.3 code had departed from a registered rule, v2 follows the registered rule: one sample per patient by highest total expression, four-level stage, sex in H2, Holm correction in H2, at least three cohorts for pooling, and protein-coding and lncRNA genes in the random-gene pool.</w:t>
      </w:r>
    </w:p>
    <w:p>
      <w:pPr>
        <w:pStyle w:val="Heading1"/>
        <w:spacing w:after="120" w:before="300"/>
      </w:pPr>
      <w:r>
        <w:rPr>
          <w:rFonts w:ascii="Times New Roman" w:cs="Times New Roman" w:eastAsia="Times New Roman" w:hAnsi="Times New Roman"/>
        </w:rPr>
        <w:t xml:space="preserve">4. Departures from what Update 3 stated</w:t>
      </w:r>
    </w:p>
    <w:p>
      <w:pPr>
        <w:spacing w:after="120" w:line="300"/>
      </w:pPr>
      <w:r>
        <w:rPr>
          <w:rFonts w:ascii="Times New Roman" w:cs="Times New Roman" w:eastAsia="Times New Roman" w:hAnsi="Times New Roman"/>
        </w:rPr>
        <w:t xml:space="preserve">Update 4 discloses two departures:</w:t>
      </w:r>
    </w:p>
    <w:p>
      <w:pPr>
        <w:pStyle w:val="ListParagraph"/>
        <w:numPr>
          <w:ilvl w:val="0"/>
          <w:numId w:val="2"/>
        </w:numPr>
        <w:spacing w:after="60" w:line="276"/>
      </w:pPr>
      <w:r>
        <w:rPr>
          <w:rFonts w:ascii="Times New Roman" w:cs="Times New Roman" w:eastAsia="Times New Roman" w:hAnsi="Times New Roman"/>
        </w:rPr>
        <w:t xml:space="preserve">Update 3 stated that any further change at the gene-mapping or coverage step would be filed as an update before any outcome analysis. The changes made at that step (Update 4, A2–A7; rows D2, D4, D6, D7 and D8 in section 6) were instead fixed in the version-controlled freeze before the analysis and were filed in Update 4, after it. None of them was made after any v2 outcome had been computed.</w:t>
      </w:r>
    </w:p>
    <w:p>
      <w:pPr>
        <w:pStyle w:val="ListParagraph"/>
        <w:numPr>
          <w:ilvl w:val="0"/>
          <w:numId w:val="2"/>
        </w:numPr>
        <w:spacing w:after="60" w:line="276"/>
      </w:pPr>
      <w:r>
        <w:rPr>
          <w:rFonts w:ascii="Times New Roman" w:cs="Times New Roman" w:eastAsia="Times New Roman" w:hAnsi="Times New Roman"/>
        </w:rPr>
        <w:t xml:space="preserve">Update 3 stated that the v0.3 code repository would be kept unchanged as the record of the corrections. The v2 code was later pushed to the same repository; the v0.3 code is kept, unchanged, at commit 229fc8f and in the folder archive_v1/.</w:t>
      </w:r>
    </w:p>
    <w:p>
      <w:pPr>
        <w:pStyle w:val="Heading1"/>
        <w:spacing w:after="120" w:before="300"/>
      </w:pPr>
      <w:r>
        <w:rPr>
          <w:rFonts w:ascii="Times New Roman" w:cs="Times New Roman" w:eastAsia="Times New Roman" w:hAnsi="Times New Roman"/>
        </w:rPr>
        <w:t xml:space="preserve">5. Code and records</w:t>
      </w:r>
    </w:p>
    <w:p>
      <w:pPr>
        <w:spacing w:after="120" w:line="300"/>
      </w:pPr>
      <w:r>
        <w:rPr>
          <w:rFonts w:ascii="Times New Roman" w:cs="Times New Roman" w:eastAsia="Times New Roman" w:hAnsi="Times New Roman"/>
        </w:rPr>
        <w:t xml:space="preserve">The analysis code, the gene mappings with their evidence (config/gene_overrides.csv, config/gene_id_alternatives.csv), the coding files of the reporting-completeness analysis (docs/coding/) and the deviations log (docs/deviations_v2.md) are in the code repository https://github.com/msks2016/LUAD_signature_benchmark. Every number in the manuscript is written by the code to results/numbers.csv.</w:t>
      </w:r>
    </w:p>
    <w:p>
      <w:pPr>
        <w:spacing w:after="120" w:line="300"/>
      </w:pPr>
      <w:r>
        <w:rPr>
          <w:rFonts w:ascii="Times New Roman" w:cs="Times New Roman" w:eastAsia="Times New Roman" w:hAnsi="Times New Roman"/>
        </w:rPr>
        <w:t xml:space="preserve">Section 6 (next pages) lists every difference between the registered protocol and the analyses reported.</w:t>
      </w:r>
    </w:p>
    <w:p>
      <w:pPr>
        <w:sectPr>
          <w:footerReference w:type="default" r:id="rId7"/>
          <w:pgSz w:w="11906" w:h="16838" w:orient="portrait"/>
          <w:pgMar w:top="1134" w:right="1134" w:bottom="1134" w:left="1134" w:header="708" w:footer="708" w:gutter="0"/>
          <w:pgNumType/>
          <w:docGrid w:linePitch="360"/>
        </w:sectPr>
      </w:pPr>
    </w:p>
    <w:p>
      <w:pPr>
        <w:pStyle w:val="Heading1"/>
        <w:spacing w:after="120" w:before="300"/>
      </w:pPr>
      <w:r>
        <w:rPr>
          <w:rFonts w:ascii="Times New Roman" w:cs="Times New Roman" w:eastAsia="Times New Roman" w:hAnsi="Times New Roman"/>
        </w:rPr>
        <w:t xml:space="preserve">6. Deviations from the registered protocol</w:t>
      </w:r>
    </w:p>
    <w:p>
      <w:pPr>
        <w:spacing w:after="120" w:line="300"/>
      </w:pPr>
      <w:r>
        <w:rPr>
          <w:rFonts w:ascii="Times New Roman" w:cs="Times New Roman" w:eastAsia="Times New Roman" w:hAnsi="Times New Roman"/>
        </w:rPr>
        <w:t xml:space="preserve">Registered: the registration of 6 October 2026, or the earlier code (v0.3) where stated. Timing: when the decision was made relative to the v2 outcome analysis (freeze on 24 October 2026).</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050"/>
        <w:gridCol w:w="3900"/>
        <w:gridCol w:w="2700"/>
        <w:gridCol w:w="1750"/>
        <w:gridCol w:w="1500"/>
      </w:tblGrid>
      <w:tr>
        <w:trPr>
          <w:tblHeader/>
        </w:trPr>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No.</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Registered</w:t>
            </w:r>
          </w:p>
        </w:tc>
        <w:tc>
          <w:tcPr>
            <w:tcW w:type="dxa" w:w="3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In this study (v2)</w:t>
            </w:r>
          </w:p>
        </w:tc>
        <w:tc>
          <w:tcPr>
            <w:tcW w:type="dxa" w:w="2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Reason</w:t>
            </w:r>
          </w:p>
        </w:tc>
        <w:tc>
          <w:tcPr>
            <w:tcW w:type="dxa" w:w="1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Filed</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Data sources and preparation</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retrieval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gdc-client with a manifest; 150 patients, 38 deaths (v0.3)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 API, Data Release 46.0; RNA-seq files made from several pieces of the same primary tumour eligible; 205 patients, 55 deaths. Age at diagnosis from the GDC diagnosis records, so age enters H2 under the registered 80% rule.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TCGAbiolinks can no longer query CPTAC-3.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GPL570 cohorts (GSE31210, GSE50081, GSE30219)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Values as provided by the GEO submitters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RMA from raw CEL files within each cohort. Probes mapped to Ensembl release 114 (primary assembly only); probes matching several genes removed; one probe per gene, the same in all three cohorts.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Uniform processing. Alternative-haplotype copies made probes look as if they matched several genes.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(RMA: memo of 12 Oct; primary assembly: 19–20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4); Update 4 (A6)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GSE81089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dropped in v0.3 because of an identifier error</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Included: 107 patients, 48 deaths. FPKM values coded −1 treated as missing.</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RNA-seq cohort whose survival data had never been analysed.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GSE72094</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cohort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Built from the series matrix (Entrez IDs mapped to Ensembl release 114): 398 patients, 113 deaths. No signature reached 80% coverage, so no signature was analysed.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stated in Update 3: analysed for any signature reaching 80% coverage.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 Update 4 (A7)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Months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30.44</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30.4375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month length; difference below 0.01%.</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Gene identity and coverage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identifiers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HGNC gene symbols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Ensembl gene IDs. Each published name mapped once with the GENCODE release whose naming the paper followed (v22 for Yu 2024 and Yao 2021; v36 for the other 13).</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Renamed symbols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1); Update 4 (A2)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Manual mappings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Six gene–signature rows mapped manually, with the evidence for each (Supplementary Table S4); two of them corrected matches to a small nucleolar RNA and one to a pseudogene.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name audit across GENCODE v22, v29, v31, v32 and v36 found clone-based names that point to different genes in different releases.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(A3),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Ensembl IDs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Official successor IDs (7 genes) used in a cohort only where the original ID is not measurable. GSE81089 (Ensembl 73): older IDs whose official history leads to a missing signature gene checked by a rule fixed in advance; 63,054 IDs queried, none accepted.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IDs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(rule fixed 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(A4, A5),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presence and gene types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Presence not defined in detail; random-gene pool of protein-coding and lncRNA genes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Measurable: no missing values, not constant (SD ≥ 10⁻⁶) and, for RNA-seq, TPM &gt; 0 in ≥ 10% of patients. All measurable genes kept for scoring; random-gene pool restricted to protein-coding and lncRNA genes, as registered.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gene without signal cannot be z-scored. Some published lncRNAs carry other gene types in current annotations.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Double extraction and independence table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Coefficients: 86 of 102 identical, 16 differing only by rounding; the full-precision printed value used. Independence: Geng 2021 used GSE31210; Yu 2024 used GSE31210, GSE30219 and GSE50081; Yang 2022 used GSE50081 (single-gene validation, treated as use).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planned.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(A1, A8)</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positive control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HR(III vs I) &gt; 1 with p &lt; 0.05 and hazard ratios increasing with stage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 cohorts with fewer than 10 stage III–IV patients (GSE31210, GSE50081, GSE30219): HR(II vs I) &gt; 1 with p &lt; 0.05.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criterion cannot be evaluated there.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150 patients and 38 deaths (the v0.3 CPTAC-3 numbers)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Each independent cohort's own numbers of patients and deaths; true C-index 0.60, 0.65 and 0.70.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numbers were those of a superseded retrieval.</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 assessment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assessed; discrimination and the HR per SD are reported.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original papers do not report baseline survival, and scores use within-cohort z-scored expression.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8)</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Composition 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I–II only and early deaths excluded, in CPTAC-3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Applied in every independent cohort.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Same rule in all cohorts.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One sample per patient</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"Highest total expression"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Largest total read count.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TPM sums to the same total in every sample, so it cannot separate samples.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9)</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of the score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Primary: C-index of the published score (higher score = higher risk); the Cox-model C-index reported beside it.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10)</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Holm correction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15 signatures"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signatures evaluable in each cohort, in H1 and in H2.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Independence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pair is independent only if the authors did not use the cohort for development, feature selection or validation.</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Secondary metrics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Log-rank test at the median score; time-dependent AUC at 12 and 36 months; adjusted HR from the H2 model (stage, sex, age).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Random-effects pooling across cohorts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Only signatures evaluable in ≥ 3 independent cohorts; TCGA-LUAD never pooled; REML with Hartung–Knapp, leave-one-cohort-out; labelled exploratory.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Analyses added after registration (reported as not pre-registered)</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Aggregate transportability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log-HR per SD over the independent pairs; patient-level cluster bootstrap (2,000 resamples); decision rule with δ = log 1.25. Cross-check: multilevel meta-analysis with cluster-robust (CR2) inference, specified in the v2 code before the freeze and not described on OSF.</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To summarise transport over all pairs.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Rules written on 11 Oct 2026 in the v0.3 deviations log; the v0.3 result (Inconclusive) had been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analysis a)</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Coverage at 100% and 70%; unstandardised log2 scoring; RNA-seq TPM rescaled to protein-coding and lncRNA genes; Uno's C-index at 60 months; GSE31210 without the 22 flagged cases; lncRNA-only and all-gene random-gene pools.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Robustness.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analyses b)</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Descriptive outputs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by the reverse Kaplan–Meier method; Kaplan–Meier curves at the median score (Supplementary Figure S2).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Post hoc</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 interval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REML with Hartung–Knapp</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Also common-effect, REML Wald and modified Hartung–Knapp (q* = max(1, q)) intervals (Supplementary Table S10). The registered interval stays primary. Yao 2021: HR 1.41 per SD; registered 1.30–1.52; modified 1.17–1.68; common effect 1.24–1.60.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interval for Yao 2021 was narrower than the common-effect interval (q = 0.19).</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result was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Code changes after the freeze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exp(βx) rewritten as plogis(βx − log μ), the same quantity.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Numerical overflow at a true C-index of 0.70.</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results at 0.60 and 0.65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Bootstrap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 genes taken before resampled patients; Cox fits with the inputs coxph() uses.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Run time.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estimates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repository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v0.3 repository kept unchanged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v2 code pushed to the same repository; v0.3 files moved to archive_v1/; v0.3 code kept at commit 229fc8f. No v0.3 file used by any v2 analysis.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Housekeeping.</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(B5)</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Corrections of earlier statements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observation (Update 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Yao 2021 C-index 0.323 in CPTAC-3, read as a reversal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v0.3 C-index direction was inverted; corrected, C = 0.677, in the published direction. The direction-consistency outcome was kept.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 in v0.3.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Text–table conflicts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5/76 (Update 2); 8/76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2/76 (2.6%): the three conflicts reported by the recheck were already among the five coded; after re-reading by both coders, three were recoded with reasons (Supplementary Table S19).</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Recomputation from the coding files.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(B6)</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dc:title>
  <cp:revision>1</cp:revision>
  <dcterms:created xsi:type="dcterms:W3CDTF">2026-10-24T14:39:16.819Z</dcterms:created>
  <dcterms:modified xsi:type="dcterms:W3CDTF">2026-10-24T14:39:16.819Z</dcterms:modified>
</cp:coreProperties>
</file>

<file path=docProps/custom.xml><?xml version="1.0" encoding="utf-8"?>
<Properties xmlns="http://schemas.openxmlformats.org/officeDocument/2006/custom-properties" xmlns:vt="http://schemas.openxmlformats.org/officeDocument/2006/docPropsVTypes"/>
</file>