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Denali Risk Dial</w:t>
      </w:r>
    </w:p>
    <w:p>
      <w:r>
        <w:rPr>
          <w:b w:val="0"/>
        </w:rPr>
        <w:t>The goal of the risk dial is to proactively identify good and bad trading environments, the “easy dollar” versus “hard penny” markets many seasoned traders recognize. It looks beneath index price action for signs of risk that a steady or rising market can hide.</w:t>
      </w:r>
    </w:p>
    <w:p>
      <w:r>
        <w:rPr>
          <w:b w:val="0"/>
        </w:rPr>
        <w:t xml:space="preserve">The dial combines the seven components below into one score. Higher readings reflect stronger combined warnings. We focus on what happened over the next </w:t>
      </w:r>
      <w:r>
        <w:rPr>
          <w:b/>
        </w:rPr>
        <w:t>5, 10 and 21 trading days</w:t>
      </w:r>
      <w:r>
        <w:rPr>
          <w:b w:val="0"/>
        </w:rPr>
        <w:t>, roughly one week, two weeks and one month.</w:t>
      </w:r>
    </w:p>
    <w:p>
      <w:pPr>
        <w:pStyle w:val="Heading1"/>
      </w:pPr>
      <w:r>
        <w:t>Distribution Dominance</w:t>
      </w:r>
    </w:p>
    <w:p>
      <w:r>
        <w:rPr>
          <w:b w:val="0"/>
        </w:rPr>
        <w:t>Counts distribution and accumulation days over the past 63 trading sessions. Both require SPY volume above its 63-session average and more than 15% above the previous session. Distribution days close below the open; accumulation days close above it. A large selling imbalance near index highs can reveal demand weakening beneath a strong index.</w:t>
      </w:r>
    </w:p>
    <w:tbl>
      <w:tblPr>
        <w:tblW w:type="auto" w:w="0"/>
        <w:tblLayout w:type="fixed"/>
        <w:tblLook w:firstColumn="1" w:firstRow="1" w:lastColumn="0" w:lastRow="0" w:noHBand="0" w:noVBand="1" w:val="04A0"/>
      </w:tblPr>
      <w:tblGrid>
        <w:gridCol w:w="4464"/>
        <w:gridCol w:w="2016"/>
        <w:gridCol w:w="2016"/>
        <w:gridCol w:w="2016"/>
      </w:tblGrid>
      <w:tr>
        <w:trPr>
          <w:cantSplit/>
        </w:trPr>
        <w:tc>
          <w:tcPr>
            <w:tcW w:type="dxa" w:w="4464"/>
            <w:shd w:fill="F1F1F1"/>
          </w:tcPr>
          <w:p>
            <w:pPr>
              <w:spacing w:before="60" w:after="100" w:line="252" w:lineRule="auto"/>
            </w:pPr>
            <w:r>
              <w:rPr>
                <w:b/>
                <w:sz w:val="20"/>
              </w:rPr>
              <w:t>Average SPY return</w:t>
            </w:r>
          </w:p>
        </w:tc>
        <w:tc>
          <w:tcPr>
            <w:tcW w:type="dxa" w:w="2016"/>
            <w:shd w:fill="F1F1F1"/>
          </w:tcPr>
          <w:p>
            <w:pPr>
              <w:spacing w:before="60" w:after="100" w:line="252" w:lineRule="auto"/>
            </w:pPr>
            <w:r>
              <w:rPr>
                <w:b/>
                <w:sz w:val="20"/>
              </w:rPr>
              <w:t>Next 5</w:t>
            </w:r>
          </w:p>
        </w:tc>
        <w:tc>
          <w:tcPr>
            <w:tcW w:type="dxa" w:w="2016"/>
            <w:shd w:fill="F1F1F1"/>
          </w:tcPr>
          <w:p>
            <w:pPr>
              <w:spacing w:before="60" w:after="100" w:line="252" w:lineRule="auto"/>
            </w:pPr>
            <w:r>
              <w:rPr>
                <w:b/>
                <w:sz w:val="20"/>
              </w:rPr>
              <w:t>Next 10</w:t>
            </w:r>
          </w:p>
        </w:tc>
        <w:tc>
          <w:tcPr>
            <w:tcW w:type="dxa" w:w="2016"/>
            <w:shd w:fill="F1F1F1"/>
          </w:tcPr>
          <w:p>
            <w:pPr>
              <w:spacing w:before="60" w:after="100" w:line="252" w:lineRule="auto"/>
            </w:pPr>
            <w:r>
              <w:rPr>
                <w:b/>
                <w:sz w:val="20"/>
              </w:rPr>
              <w:t>Next 21</w:t>
            </w:r>
          </w:p>
        </w:tc>
      </w:tr>
      <w:tr>
        <w:trPr>
          <w:cantSplit/>
        </w:trPr>
        <w:tc>
          <w:tcPr>
            <w:tcW w:type="dxa" w:w="4464"/>
          </w:tcPr>
          <w:p>
            <w:pPr>
              <w:spacing w:before="60" w:after="100" w:line="252" w:lineRule="auto"/>
            </w:pPr>
            <w:r>
              <w:rPr>
                <w:b w:val="0"/>
                <w:sz w:val="20"/>
              </w:rPr>
              <w:t>Warning active (267 dates)</w:t>
            </w:r>
          </w:p>
        </w:tc>
        <w:tc>
          <w:tcPr>
            <w:tcW w:type="dxa" w:w="2016"/>
          </w:tcPr>
          <w:p>
            <w:pPr>
              <w:spacing w:before="60" w:after="100" w:line="252" w:lineRule="auto"/>
            </w:pPr>
            <w:r>
              <w:rPr>
                <w:b w:val="0"/>
                <w:sz w:val="20"/>
              </w:rPr>
              <w:t>-0.05%</w:t>
            </w:r>
          </w:p>
        </w:tc>
        <w:tc>
          <w:tcPr>
            <w:tcW w:type="dxa" w:w="2016"/>
          </w:tcPr>
          <w:p>
            <w:pPr>
              <w:spacing w:before="60" w:after="100" w:line="252" w:lineRule="auto"/>
            </w:pPr>
            <w:r>
              <w:rPr>
                <w:b w:val="0"/>
                <w:sz w:val="20"/>
              </w:rPr>
              <w:t>-0.19%</w:t>
            </w:r>
          </w:p>
        </w:tc>
        <w:tc>
          <w:tcPr>
            <w:tcW w:type="dxa" w:w="2016"/>
          </w:tcPr>
          <w:p>
            <w:pPr>
              <w:spacing w:before="60" w:after="100" w:line="252" w:lineRule="auto"/>
            </w:pPr>
            <w:r>
              <w:rPr>
                <w:b w:val="0"/>
                <w:sz w:val="20"/>
              </w:rPr>
              <w:t>-0.38%</w:t>
            </w:r>
          </w:p>
        </w:tc>
      </w:tr>
      <w:tr>
        <w:trPr>
          <w:cantSplit/>
        </w:trPr>
        <w:tc>
          <w:tcPr>
            <w:tcW w:type="dxa" w:w="4464"/>
          </w:tcPr>
          <w:p>
            <w:pPr>
              <w:spacing w:before="60" w:after="100" w:line="252" w:lineRule="auto"/>
            </w:pPr>
            <w:r>
              <w:rPr>
                <w:b w:val="0"/>
                <w:sz w:val="20"/>
              </w:rPr>
              <w:t>All dates (6,129)</w:t>
            </w:r>
          </w:p>
        </w:tc>
        <w:tc>
          <w:tcPr>
            <w:tcW w:type="dxa" w:w="2016"/>
          </w:tcPr>
          <w:p>
            <w:pPr>
              <w:spacing w:before="60" w:after="100" w:line="252" w:lineRule="auto"/>
            </w:pPr>
            <w:r>
              <w:rPr>
                <w:b w:val="0"/>
                <w:sz w:val="20"/>
              </w:rPr>
              <w:t>+0.22%</w:t>
            </w:r>
          </w:p>
        </w:tc>
        <w:tc>
          <w:tcPr>
            <w:tcW w:type="dxa" w:w="2016"/>
          </w:tcPr>
          <w:p>
            <w:pPr>
              <w:spacing w:before="60" w:after="100" w:line="252" w:lineRule="auto"/>
            </w:pPr>
            <w:r>
              <w:rPr>
                <w:b w:val="0"/>
                <w:sz w:val="20"/>
              </w:rPr>
              <w:t>+0.44%</w:t>
            </w:r>
          </w:p>
        </w:tc>
        <w:tc>
          <w:tcPr>
            <w:tcW w:type="dxa" w:w="2016"/>
          </w:tcPr>
          <w:p>
            <w:pPr>
              <w:spacing w:before="60" w:after="100" w:line="252" w:lineRule="auto"/>
            </w:pPr>
            <w:r>
              <w:rPr>
                <w:b w:val="0"/>
                <w:sz w:val="20"/>
              </w:rPr>
              <w:t>+0.91%</w:t>
            </w:r>
          </w:p>
        </w:tc>
      </w:tr>
    </w:tbl>
    <w:p>
      <w:pPr>
        <w:pStyle w:val="Heading1"/>
      </w:pPr>
      <w:r>
        <w:t>Defensive Leadership</w:t>
      </w:r>
    </w:p>
    <w:p>
      <w:r>
        <w:rPr>
          <w:b w:val="0"/>
        </w:rPr>
        <w:t>Compares the share of defensive and economically sensitive stocks above their 50- and 200-session averages. Defensive businesses tend to hold up better in a slowdown. Their leadership near index highs can signal less confidence in growth and weaker support for further gains.</w:t>
      </w:r>
    </w:p>
    <w:tbl>
      <w:tblPr>
        <w:tblW w:type="auto" w:w="0"/>
        <w:tblLayout w:type="fixed"/>
        <w:tblLook w:firstColumn="1" w:firstRow="1" w:lastColumn="0" w:lastRow="0" w:noHBand="0" w:noVBand="1" w:val="04A0"/>
      </w:tblPr>
      <w:tblGrid>
        <w:gridCol w:w="4464"/>
        <w:gridCol w:w="2016"/>
        <w:gridCol w:w="2016"/>
        <w:gridCol w:w="2016"/>
      </w:tblGrid>
      <w:tr>
        <w:trPr>
          <w:cantSplit/>
        </w:trPr>
        <w:tc>
          <w:tcPr>
            <w:tcW w:type="dxa" w:w="4464"/>
            <w:shd w:fill="F1F1F1"/>
          </w:tcPr>
          <w:p>
            <w:pPr>
              <w:spacing w:before="60" w:after="100" w:line="252" w:lineRule="auto"/>
            </w:pPr>
            <w:r>
              <w:rPr>
                <w:b/>
                <w:sz w:val="20"/>
              </w:rPr>
              <w:t>Average SPY return</w:t>
            </w:r>
          </w:p>
        </w:tc>
        <w:tc>
          <w:tcPr>
            <w:tcW w:type="dxa" w:w="2016"/>
            <w:shd w:fill="F1F1F1"/>
          </w:tcPr>
          <w:p>
            <w:pPr>
              <w:spacing w:before="60" w:after="100" w:line="252" w:lineRule="auto"/>
            </w:pPr>
            <w:r>
              <w:rPr>
                <w:b/>
                <w:sz w:val="20"/>
              </w:rPr>
              <w:t>Next 5</w:t>
            </w:r>
          </w:p>
        </w:tc>
        <w:tc>
          <w:tcPr>
            <w:tcW w:type="dxa" w:w="2016"/>
            <w:shd w:fill="F1F1F1"/>
          </w:tcPr>
          <w:p>
            <w:pPr>
              <w:spacing w:before="60" w:after="100" w:line="252" w:lineRule="auto"/>
            </w:pPr>
            <w:r>
              <w:rPr>
                <w:b/>
                <w:sz w:val="20"/>
              </w:rPr>
              <w:t>Next 10</w:t>
            </w:r>
          </w:p>
        </w:tc>
        <w:tc>
          <w:tcPr>
            <w:tcW w:type="dxa" w:w="2016"/>
            <w:shd w:fill="F1F1F1"/>
          </w:tcPr>
          <w:p>
            <w:pPr>
              <w:spacing w:before="60" w:after="100" w:line="252" w:lineRule="auto"/>
            </w:pPr>
            <w:r>
              <w:rPr>
                <w:b/>
                <w:sz w:val="20"/>
              </w:rPr>
              <w:t>Next 21</w:t>
            </w:r>
          </w:p>
        </w:tc>
      </w:tr>
      <w:tr>
        <w:trPr>
          <w:cantSplit/>
        </w:trPr>
        <w:tc>
          <w:tcPr>
            <w:tcW w:type="dxa" w:w="4464"/>
          </w:tcPr>
          <w:p>
            <w:pPr>
              <w:spacing w:before="60" w:after="100" w:line="252" w:lineRule="auto"/>
            </w:pPr>
            <w:r>
              <w:rPr>
                <w:b w:val="0"/>
                <w:sz w:val="20"/>
              </w:rPr>
              <w:t>Warning active (589 dates)</w:t>
            </w:r>
          </w:p>
        </w:tc>
        <w:tc>
          <w:tcPr>
            <w:tcW w:type="dxa" w:w="2016"/>
          </w:tcPr>
          <w:p>
            <w:pPr>
              <w:spacing w:before="60" w:after="100" w:line="252" w:lineRule="auto"/>
            </w:pPr>
            <w:r>
              <w:rPr>
                <w:b w:val="0"/>
                <w:sz w:val="20"/>
              </w:rPr>
              <w:t>-0.06%</w:t>
            </w:r>
          </w:p>
        </w:tc>
        <w:tc>
          <w:tcPr>
            <w:tcW w:type="dxa" w:w="2016"/>
          </w:tcPr>
          <w:p>
            <w:pPr>
              <w:spacing w:before="60" w:after="100" w:line="252" w:lineRule="auto"/>
            </w:pPr>
            <w:r>
              <w:rPr>
                <w:b w:val="0"/>
                <w:sz w:val="20"/>
              </w:rPr>
              <w:t>-0.02%</w:t>
            </w:r>
          </w:p>
        </w:tc>
        <w:tc>
          <w:tcPr>
            <w:tcW w:type="dxa" w:w="2016"/>
          </w:tcPr>
          <w:p>
            <w:pPr>
              <w:spacing w:before="60" w:after="100" w:line="252" w:lineRule="auto"/>
            </w:pPr>
            <w:r>
              <w:rPr>
                <w:b w:val="0"/>
                <w:sz w:val="20"/>
              </w:rPr>
              <w:t>-0.18%</w:t>
            </w:r>
          </w:p>
        </w:tc>
      </w:tr>
      <w:tr>
        <w:trPr>
          <w:cantSplit/>
        </w:trPr>
        <w:tc>
          <w:tcPr>
            <w:tcW w:type="dxa" w:w="4464"/>
          </w:tcPr>
          <w:p>
            <w:pPr>
              <w:spacing w:before="60" w:after="100" w:line="252" w:lineRule="auto"/>
            </w:pPr>
            <w:r>
              <w:rPr>
                <w:b w:val="0"/>
                <w:sz w:val="20"/>
              </w:rPr>
              <w:t>All dates (6,129)</w:t>
            </w:r>
          </w:p>
        </w:tc>
        <w:tc>
          <w:tcPr>
            <w:tcW w:type="dxa" w:w="2016"/>
          </w:tcPr>
          <w:p>
            <w:pPr>
              <w:spacing w:before="60" w:after="100" w:line="252" w:lineRule="auto"/>
            </w:pPr>
            <w:r>
              <w:rPr>
                <w:b w:val="0"/>
                <w:sz w:val="20"/>
              </w:rPr>
              <w:t>+0.22%</w:t>
            </w:r>
          </w:p>
        </w:tc>
        <w:tc>
          <w:tcPr>
            <w:tcW w:type="dxa" w:w="2016"/>
          </w:tcPr>
          <w:p>
            <w:pPr>
              <w:spacing w:before="60" w:after="100" w:line="252" w:lineRule="auto"/>
            </w:pPr>
            <w:r>
              <w:rPr>
                <w:b w:val="0"/>
                <w:sz w:val="20"/>
              </w:rPr>
              <w:t>+0.44%</w:t>
            </w:r>
          </w:p>
        </w:tc>
        <w:tc>
          <w:tcPr>
            <w:tcW w:type="dxa" w:w="2016"/>
          </w:tcPr>
          <w:p>
            <w:pPr>
              <w:spacing w:before="60" w:after="100" w:line="252" w:lineRule="auto"/>
            </w:pPr>
            <w:r>
              <w:rPr>
                <w:b w:val="0"/>
                <w:sz w:val="20"/>
              </w:rPr>
              <w:t>+0.91%</w:t>
            </w:r>
          </w:p>
        </w:tc>
      </w:tr>
    </w:tbl>
    <w:p>
      <w:pPr>
        <w:pStyle w:val="Heading1"/>
      </w:pPr>
      <w:r>
        <w:t>VIX Range Compression</w:t>
      </w:r>
    </w:p>
    <w:p>
      <w:r>
        <w:rPr>
          <w:b w:val="0"/>
        </w:rPr>
        <w:t>Flags an unusually narrow trading range in VIX, the options market’s estimate of future S&amp;P 500 swings. VIX must also exceed 13 and its recent average. We watch this combination because a tight range alongside rising unease can precede a larger move.</w:t>
      </w:r>
    </w:p>
    <w:tbl>
      <w:tblPr>
        <w:tblW w:type="auto" w:w="0"/>
        <w:tblLayout w:type="fixed"/>
        <w:tblLook w:firstColumn="1" w:firstRow="1" w:lastColumn="0" w:lastRow="0" w:noHBand="0" w:noVBand="1" w:val="04A0"/>
      </w:tblPr>
      <w:tblGrid>
        <w:gridCol w:w="4464"/>
        <w:gridCol w:w="2016"/>
        <w:gridCol w:w="2016"/>
        <w:gridCol w:w="2016"/>
      </w:tblGrid>
      <w:tr>
        <w:trPr>
          <w:cantSplit/>
        </w:trPr>
        <w:tc>
          <w:tcPr>
            <w:tcW w:type="dxa" w:w="4464"/>
            <w:shd w:fill="F1F1F1"/>
          </w:tcPr>
          <w:p>
            <w:pPr>
              <w:spacing w:before="60" w:after="100" w:line="252" w:lineRule="auto"/>
            </w:pPr>
            <w:r>
              <w:rPr>
                <w:b/>
                <w:sz w:val="20"/>
              </w:rPr>
              <w:t>Average SPY return</w:t>
            </w:r>
          </w:p>
        </w:tc>
        <w:tc>
          <w:tcPr>
            <w:tcW w:type="dxa" w:w="2016"/>
            <w:shd w:fill="F1F1F1"/>
          </w:tcPr>
          <w:p>
            <w:pPr>
              <w:spacing w:before="60" w:after="100" w:line="252" w:lineRule="auto"/>
            </w:pPr>
            <w:r>
              <w:rPr>
                <w:b/>
                <w:sz w:val="20"/>
              </w:rPr>
              <w:t>Next 5</w:t>
            </w:r>
          </w:p>
        </w:tc>
        <w:tc>
          <w:tcPr>
            <w:tcW w:type="dxa" w:w="2016"/>
            <w:shd w:fill="F1F1F1"/>
          </w:tcPr>
          <w:p>
            <w:pPr>
              <w:spacing w:before="60" w:after="100" w:line="252" w:lineRule="auto"/>
            </w:pPr>
            <w:r>
              <w:rPr>
                <w:b/>
                <w:sz w:val="20"/>
              </w:rPr>
              <w:t>Next 10</w:t>
            </w:r>
          </w:p>
        </w:tc>
        <w:tc>
          <w:tcPr>
            <w:tcW w:type="dxa" w:w="2016"/>
            <w:shd w:fill="F1F1F1"/>
          </w:tcPr>
          <w:p>
            <w:pPr>
              <w:spacing w:before="60" w:after="100" w:line="252" w:lineRule="auto"/>
            </w:pPr>
            <w:r>
              <w:rPr>
                <w:b/>
                <w:sz w:val="20"/>
              </w:rPr>
              <w:t>Next 21</w:t>
            </w:r>
          </w:p>
        </w:tc>
      </w:tr>
      <w:tr>
        <w:trPr>
          <w:cantSplit/>
        </w:trPr>
        <w:tc>
          <w:tcPr>
            <w:tcW w:type="dxa" w:w="4464"/>
          </w:tcPr>
          <w:p>
            <w:pPr>
              <w:spacing w:before="60" w:after="100" w:line="252" w:lineRule="auto"/>
            </w:pPr>
            <w:r>
              <w:rPr>
                <w:b w:val="0"/>
                <w:sz w:val="20"/>
              </w:rPr>
              <w:t>Warning active (357 dates)</w:t>
            </w:r>
          </w:p>
        </w:tc>
        <w:tc>
          <w:tcPr>
            <w:tcW w:type="dxa" w:w="2016"/>
          </w:tcPr>
          <w:p>
            <w:pPr>
              <w:spacing w:before="60" w:after="100" w:line="252" w:lineRule="auto"/>
            </w:pPr>
            <w:r>
              <w:rPr>
                <w:b w:val="0"/>
                <w:sz w:val="20"/>
              </w:rPr>
              <w:t>+0.12%</w:t>
            </w:r>
          </w:p>
        </w:tc>
        <w:tc>
          <w:tcPr>
            <w:tcW w:type="dxa" w:w="2016"/>
          </w:tcPr>
          <w:p>
            <w:pPr>
              <w:spacing w:before="60" w:after="100" w:line="252" w:lineRule="auto"/>
            </w:pPr>
            <w:r>
              <w:rPr>
                <w:b w:val="0"/>
                <w:sz w:val="20"/>
              </w:rPr>
              <w:t>+0.12%</w:t>
            </w:r>
          </w:p>
        </w:tc>
        <w:tc>
          <w:tcPr>
            <w:tcW w:type="dxa" w:w="2016"/>
          </w:tcPr>
          <w:p>
            <w:pPr>
              <w:spacing w:before="60" w:after="100" w:line="252" w:lineRule="auto"/>
            </w:pPr>
            <w:r>
              <w:rPr>
                <w:b w:val="0"/>
                <w:sz w:val="20"/>
              </w:rPr>
              <w:t>+0.90%</w:t>
            </w:r>
          </w:p>
        </w:tc>
      </w:tr>
      <w:tr>
        <w:trPr>
          <w:cantSplit/>
        </w:trPr>
        <w:tc>
          <w:tcPr>
            <w:tcW w:type="dxa" w:w="4464"/>
          </w:tcPr>
          <w:p>
            <w:pPr>
              <w:spacing w:before="60" w:after="100" w:line="252" w:lineRule="auto"/>
            </w:pPr>
            <w:r>
              <w:rPr>
                <w:b w:val="0"/>
                <w:sz w:val="20"/>
              </w:rPr>
              <w:t>All dates (6,129)</w:t>
            </w:r>
          </w:p>
        </w:tc>
        <w:tc>
          <w:tcPr>
            <w:tcW w:type="dxa" w:w="2016"/>
          </w:tcPr>
          <w:p>
            <w:pPr>
              <w:spacing w:before="60" w:after="100" w:line="252" w:lineRule="auto"/>
            </w:pPr>
            <w:r>
              <w:rPr>
                <w:b w:val="0"/>
                <w:sz w:val="20"/>
              </w:rPr>
              <w:t>+0.22%</w:t>
            </w:r>
          </w:p>
        </w:tc>
        <w:tc>
          <w:tcPr>
            <w:tcW w:type="dxa" w:w="2016"/>
          </w:tcPr>
          <w:p>
            <w:pPr>
              <w:spacing w:before="60" w:after="100" w:line="252" w:lineRule="auto"/>
            </w:pPr>
            <w:r>
              <w:rPr>
                <w:b w:val="0"/>
                <w:sz w:val="20"/>
              </w:rPr>
              <w:t>+0.44%</w:t>
            </w:r>
          </w:p>
        </w:tc>
        <w:tc>
          <w:tcPr>
            <w:tcW w:type="dxa" w:w="2016"/>
          </w:tcPr>
          <w:p>
            <w:pPr>
              <w:spacing w:before="60" w:after="100" w:line="252" w:lineRule="auto"/>
            </w:pPr>
            <w:r>
              <w:rPr>
                <w:b w:val="0"/>
                <w:sz w:val="20"/>
              </w:rPr>
              <w:t>+0.91%</w:t>
            </w:r>
          </w:p>
        </w:tc>
      </w:tr>
    </w:tbl>
    <w:p>
      <w:pPr>
        <w:pStyle w:val="Heading1"/>
        <w:pageBreakBefore/>
      </w:pPr>
      <w:r>
        <w:t>Low Absorption Ratio</w:t>
      </w:r>
    </w:p>
    <w:p>
      <w:r>
        <w:rPr>
          <w:b w:val="0"/>
        </w:rPr>
        <w:t>Measures how closely sectors move together. A low reading near index highs means separate sector moves can help keep the index steady. A common shock can make those sectors fall together, removing the support that their different paths provided.</w:t>
      </w:r>
    </w:p>
    <w:tbl>
      <w:tblPr>
        <w:tblW w:type="auto" w:w="0"/>
        <w:tblLayout w:type="fixed"/>
        <w:tblLook w:firstColumn="1" w:firstRow="1" w:lastColumn="0" w:lastRow="0" w:noHBand="0" w:noVBand="1" w:val="04A0"/>
      </w:tblPr>
      <w:tblGrid>
        <w:gridCol w:w="4464"/>
        <w:gridCol w:w="2016"/>
        <w:gridCol w:w="2016"/>
        <w:gridCol w:w="2016"/>
      </w:tblGrid>
      <w:tr>
        <w:trPr>
          <w:cantSplit/>
        </w:trPr>
        <w:tc>
          <w:tcPr>
            <w:tcW w:type="dxa" w:w="4464"/>
            <w:shd w:fill="F1F1F1"/>
          </w:tcPr>
          <w:p>
            <w:pPr>
              <w:spacing w:before="60" w:after="100" w:line="252" w:lineRule="auto"/>
            </w:pPr>
            <w:r>
              <w:rPr>
                <w:b/>
                <w:sz w:val="20"/>
              </w:rPr>
              <w:t>Average SPY return</w:t>
            </w:r>
          </w:p>
        </w:tc>
        <w:tc>
          <w:tcPr>
            <w:tcW w:type="dxa" w:w="2016"/>
            <w:shd w:fill="F1F1F1"/>
          </w:tcPr>
          <w:p>
            <w:pPr>
              <w:spacing w:before="60" w:after="100" w:line="252" w:lineRule="auto"/>
            </w:pPr>
            <w:r>
              <w:rPr>
                <w:b/>
                <w:sz w:val="20"/>
              </w:rPr>
              <w:t>Next 5</w:t>
            </w:r>
          </w:p>
        </w:tc>
        <w:tc>
          <w:tcPr>
            <w:tcW w:type="dxa" w:w="2016"/>
            <w:shd w:fill="F1F1F1"/>
          </w:tcPr>
          <w:p>
            <w:pPr>
              <w:spacing w:before="60" w:after="100" w:line="252" w:lineRule="auto"/>
            </w:pPr>
            <w:r>
              <w:rPr>
                <w:b/>
                <w:sz w:val="20"/>
              </w:rPr>
              <w:t>Next 10</w:t>
            </w:r>
          </w:p>
        </w:tc>
        <w:tc>
          <w:tcPr>
            <w:tcW w:type="dxa" w:w="2016"/>
            <w:shd w:fill="F1F1F1"/>
          </w:tcPr>
          <w:p>
            <w:pPr>
              <w:spacing w:before="60" w:after="100" w:line="252" w:lineRule="auto"/>
            </w:pPr>
            <w:r>
              <w:rPr>
                <w:b/>
                <w:sz w:val="20"/>
              </w:rPr>
              <w:t>Next 21</w:t>
            </w:r>
          </w:p>
        </w:tc>
      </w:tr>
      <w:tr>
        <w:trPr>
          <w:cantSplit/>
        </w:trPr>
        <w:tc>
          <w:tcPr>
            <w:tcW w:type="dxa" w:w="4464"/>
          </w:tcPr>
          <w:p>
            <w:pPr>
              <w:spacing w:before="60" w:after="100" w:line="252" w:lineRule="auto"/>
            </w:pPr>
            <w:r>
              <w:rPr>
                <w:b w:val="0"/>
                <w:sz w:val="20"/>
              </w:rPr>
              <w:t>Warning active (681 dates)</w:t>
            </w:r>
          </w:p>
        </w:tc>
        <w:tc>
          <w:tcPr>
            <w:tcW w:type="dxa" w:w="2016"/>
          </w:tcPr>
          <w:p>
            <w:pPr>
              <w:spacing w:before="60" w:after="100" w:line="252" w:lineRule="auto"/>
            </w:pPr>
            <w:r>
              <w:rPr>
                <w:b w:val="0"/>
                <w:sz w:val="20"/>
              </w:rPr>
              <w:t>+0.11%</w:t>
            </w:r>
          </w:p>
        </w:tc>
        <w:tc>
          <w:tcPr>
            <w:tcW w:type="dxa" w:w="2016"/>
          </w:tcPr>
          <w:p>
            <w:pPr>
              <w:spacing w:before="60" w:after="100" w:line="252" w:lineRule="auto"/>
            </w:pPr>
            <w:r>
              <w:rPr>
                <w:b w:val="0"/>
                <w:sz w:val="20"/>
              </w:rPr>
              <w:t>+0.21%</w:t>
            </w:r>
          </w:p>
        </w:tc>
        <w:tc>
          <w:tcPr>
            <w:tcW w:type="dxa" w:w="2016"/>
          </w:tcPr>
          <w:p>
            <w:pPr>
              <w:spacing w:before="60" w:after="100" w:line="252" w:lineRule="auto"/>
            </w:pPr>
            <w:r>
              <w:rPr>
                <w:b w:val="0"/>
                <w:sz w:val="20"/>
              </w:rPr>
              <w:t>+0.48%</w:t>
            </w:r>
          </w:p>
        </w:tc>
      </w:tr>
      <w:tr>
        <w:trPr>
          <w:cantSplit/>
        </w:trPr>
        <w:tc>
          <w:tcPr>
            <w:tcW w:type="dxa" w:w="4464"/>
          </w:tcPr>
          <w:p>
            <w:pPr>
              <w:spacing w:before="60" w:after="100" w:line="252" w:lineRule="auto"/>
            </w:pPr>
            <w:r>
              <w:rPr>
                <w:b w:val="0"/>
                <w:sz w:val="20"/>
              </w:rPr>
              <w:t>All dates (6,129)</w:t>
            </w:r>
          </w:p>
        </w:tc>
        <w:tc>
          <w:tcPr>
            <w:tcW w:type="dxa" w:w="2016"/>
          </w:tcPr>
          <w:p>
            <w:pPr>
              <w:spacing w:before="60" w:after="100" w:line="252" w:lineRule="auto"/>
            </w:pPr>
            <w:r>
              <w:rPr>
                <w:b w:val="0"/>
                <w:sz w:val="20"/>
              </w:rPr>
              <w:t>+0.22%</w:t>
            </w:r>
          </w:p>
        </w:tc>
        <w:tc>
          <w:tcPr>
            <w:tcW w:type="dxa" w:w="2016"/>
          </w:tcPr>
          <w:p>
            <w:pPr>
              <w:spacing w:before="60" w:after="100" w:line="252" w:lineRule="auto"/>
            </w:pPr>
            <w:r>
              <w:rPr>
                <w:b w:val="0"/>
                <w:sz w:val="20"/>
              </w:rPr>
              <w:t>+0.44%</w:t>
            </w:r>
          </w:p>
        </w:tc>
        <w:tc>
          <w:tcPr>
            <w:tcW w:type="dxa" w:w="2016"/>
          </w:tcPr>
          <w:p>
            <w:pPr>
              <w:spacing w:before="60" w:after="100" w:line="252" w:lineRule="auto"/>
            </w:pPr>
            <w:r>
              <w:rPr>
                <w:b w:val="0"/>
                <w:sz w:val="20"/>
              </w:rPr>
              <w:t>+0.91%</w:t>
            </w:r>
          </w:p>
        </w:tc>
      </w:tr>
    </w:tbl>
    <w:p>
      <w:pPr>
        <w:pStyle w:val="Heading1"/>
      </w:pPr>
      <w:r>
        <w:t>Seasonal Rank Divergence</w:t>
      </w:r>
    </w:p>
    <w:p>
      <w:r>
        <w:rPr>
          <w:b w:val="0"/>
        </w:rPr>
        <w:t>Compares how defensive and economically sensitive stocks have historically performed at that time of year. When the calendar favors defensive shares while SPY is near its high, the market may have less seasonal support for continued gains.</w:t>
      </w:r>
    </w:p>
    <w:tbl>
      <w:tblPr>
        <w:tblW w:type="auto" w:w="0"/>
        <w:tblLayout w:type="fixed"/>
        <w:tblLook w:firstColumn="1" w:firstRow="1" w:lastColumn="0" w:lastRow="0" w:noHBand="0" w:noVBand="1" w:val="04A0"/>
      </w:tblPr>
      <w:tblGrid>
        <w:gridCol w:w="4464"/>
        <w:gridCol w:w="2016"/>
        <w:gridCol w:w="2016"/>
        <w:gridCol w:w="2016"/>
      </w:tblGrid>
      <w:tr>
        <w:trPr>
          <w:cantSplit/>
        </w:trPr>
        <w:tc>
          <w:tcPr>
            <w:tcW w:type="dxa" w:w="4464"/>
            <w:shd w:fill="F1F1F1"/>
          </w:tcPr>
          <w:p>
            <w:pPr>
              <w:spacing w:before="60" w:after="100" w:line="252" w:lineRule="auto"/>
            </w:pPr>
            <w:r>
              <w:rPr>
                <w:b/>
                <w:sz w:val="20"/>
              </w:rPr>
              <w:t>Average SPY return</w:t>
            </w:r>
          </w:p>
        </w:tc>
        <w:tc>
          <w:tcPr>
            <w:tcW w:type="dxa" w:w="2016"/>
            <w:shd w:fill="F1F1F1"/>
          </w:tcPr>
          <w:p>
            <w:pPr>
              <w:spacing w:before="60" w:after="100" w:line="252" w:lineRule="auto"/>
            </w:pPr>
            <w:r>
              <w:rPr>
                <w:b/>
                <w:sz w:val="20"/>
              </w:rPr>
              <w:t>Next 5</w:t>
            </w:r>
          </w:p>
        </w:tc>
        <w:tc>
          <w:tcPr>
            <w:tcW w:type="dxa" w:w="2016"/>
            <w:shd w:fill="F1F1F1"/>
          </w:tcPr>
          <w:p>
            <w:pPr>
              <w:spacing w:before="60" w:after="100" w:line="252" w:lineRule="auto"/>
            </w:pPr>
            <w:r>
              <w:rPr>
                <w:b/>
                <w:sz w:val="20"/>
              </w:rPr>
              <w:t>Next 10</w:t>
            </w:r>
          </w:p>
        </w:tc>
        <w:tc>
          <w:tcPr>
            <w:tcW w:type="dxa" w:w="2016"/>
            <w:shd w:fill="F1F1F1"/>
          </w:tcPr>
          <w:p>
            <w:pPr>
              <w:spacing w:before="60" w:after="100" w:line="252" w:lineRule="auto"/>
            </w:pPr>
            <w:r>
              <w:rPr>
                <w:b/>
                <w:sz w:val="20"/>
              </w:rPr>
              <w:t>Next 21</w:t>
            </w:r>
          </w:p>
        </w:tc>
      </w:tr>
      <w:tr>
        <w:trPr>
          <w:cantSplit/>
        </w:trPr>
        <w:tc>
          <w:tcPr>
            <w:tcW w:type="dxa" w:w="4464"/>
          </w:tcPr>
          <w:p>
            <w:pPr>
              <w:spacing w:before="60" w:after="100" w:line="252" w:lineRule="auto"/>
            </w:pPr>
            <w:r>
              <w:rPr>
                <w:b w:val="0"/>
                <w:sz w:val="20"/>
              </w:rPr>
              <w:t>Warning active (139 dates)</w:t>
            </w:r>
          </w:p>
        </w:tc>
        <w:tc>
          <w:tcPr>
            <w:tcW w:type="dxa" w:w="2016"/>
          </w:tcPr>
          <w:p>
            <w:pPr>
              <w:spacing w:before="60" w:after="100" w:line="252" w:lineRule="auto"/>
            </w:pPr>
            <w:r>
              <w:rPr>
                <w:b w:val="0"/>
                <w:sz w:val="20"/>
              </w:rPr>
              <w:t>-0.14%</w:t>
            </w:r>
          </w:p>
        </w:tc>
        <w:tc>
          <w:tcPr>
            <w:tcW w:type="dxa" w:w="2016"/>
          </w:tcPr>
          <w:p>
            <w:pPr>
              <w:spacing w:before="60" w:after="100" w:line="252" w:lineRule="auto"/>
            </w:pPr>
            <w:r>
              <w:rPr>
                <w:b w:val="0"/>
                <w:sz w:val="20"/>
              </w:rPr>
              <w:t>-0.16%</w:t>
            </w:r>
          </w:p>
        </w:tc>
        <w:tc>
          <w:tcPr>
            <w:tcW w:type="dxa" w:w="2016"/>
          </w:tcPr>
          <w:p>
            <w:pPr>
              <w:spacing w:before="60" w:after="100" w:line="252" w:lineRule="auto"/>
            </w:pPr>
            <w:r>
              <w:rPr>
                <w:b w:val="0"/>
                <w:sz w:val="20"/>
              </w:rPr>
              <w:t>-0.02%</w:t>
            </w:r>
          </w:p>
        </w:tc>
      </w:tr>
      <w:tr>
        <w:trPr>
          <w:cantSplit/>
        </w:trPr>
        <w:tc>
          <w:tcPr>
            <w:tcW w:type="dxa" w:w="4464"/>
          </w:tcPr>
          <w:p>
            <w:pPr>
              <w:spacing w:before="60" w:after="100" w:line="252" w:lineRule="auto"/>
            </w:pPr>
            <w:r>
              <w:rPr>
                <w:b w:val="0"/>
                <w:sz w:val="20"/>
              </w:rPr>
              <w:t>All dates (6,129)</w:t>
            </w:r>
          </w:p>
        </w:tc>
        <w:tc>
          <w:tcPr>
            <w:tcW w:type="dxa" w:w="2016"/>
          </w:tcPr>
          <w:p>
            <w:pPr>
              <w:spacing w:before="60" w:after="100" w:line="252" w:lineRule="auto"/>
            </w:pPr>
            <w:r>
              <w:rPr>
                <w:b w:val="0"/>
                <w:sz w:val="20"/>
              </w:rPr>
              <w:t>+0.22%</w:t>
            </w:r>
          </w:p>
        </w:tc>
        <w:tc>
          <w:tcPr>
            <w:tcW w:type="dxa" w:w="2016"/>
          </w:tcPr>
          <w:p>
            <w:pPr>
              <w:spacing w:before="60" w:after="100" w:line="252" w:lineRule="auto"/>
            </w:pPr>
            <w:r>
              <w:rPr>
                <w:b w:val="0"/>
                <w:sz w:val="20"/>
              </w:rPr>
              <w:t>+0.44%</w:t>
            </w:r>
          </w:p>
        </w:tc>
        <w:tc>
          <w:tcPr>
            <w:tcW w:type="dxa" w:w="2016"/>
          </w:tcPr>
          <w:p>
            <w:pPr>
              <w:spacing w:before="60" w:after="100" w:line="252" w:lineRule="auto"/>
            </w:pPr>
            <w:r>
              <w:rPr>
                <w:b w:val="0"/>
                <w:sz w:val="20"/>
              </w:rPr>
              <w:t>+0.91%</w:t>
            </w:r>
          </w:p>
        </w:tc>
      </w:tr>
    </w:tbl>
    <w:p>
      <w:pPr>
        <w:pStyle w:val="Heading1"/>
      </w:pPr>
      <w:r>
        <w:t>Dispersion</w:t>
      </w:r>
    </w:p>
    <w:p>
      <w:r>
        <w:rPr>
          <w:b w:val="0"/>
        </w:rPr>
        <w:t>Compares the size of individual-stock moves with moves in the index after a long stretch without a 10% correction. Large gains and losses can cancel out, making the index look calm. We watch for the risk that those stock moves line up on the downside.</w:t>
      </w:r>
    </w:p>
    <w:tbl>
      <w:tblPr>
        <w:tblW w:type="auto" w:w="0"/>
        <w:tblLayout w:type="fixed"/>
        <w:tblLook w:firstColumn="1" w:firstRow="1" w:lastColumn="0" w:lastRow="0" w:noHBand="0" w:noVBand="1" w:val="04A0"/>
      </w:tblPr>
      <w:tblGrid>
        <w:gridCol w:w="4464"/>
        <w:gridCol w:w="2016"/>
        <w:gridCol w:w="2016"/>
        <w:gridCol w:w="2016"/>
      </w:tblGrid>
      <w:tr>
        <w:trPr>
          <w:cantSplit/>
        </w:trPr>
        <w:tc>
          <w:tcPr>
            <w:tcW w:type="dxa" w:w="4464"/>
            <w:shd w:fill="F1F1F1"/>
          </w:tcPr>
          <w:p>
            <w:pPr>
              <w:spacing w:before="60" w:after="100" w:line="252" w:lineRule="auto"/>
            </w:pPr>
            <w:r>
              <w:rPr>
                <w:b/>
                <w:sz w:val="20"/>
              </w:rPr>
              <w:t>Average SPY return</w:t>
            </w:r>
          </w:p>
        </w:tc>
        <w:tc>
          <w:tcPr>
            <w:tcW w:type="dxa" w:w="2016"/>
            <w:shd w:fill="F1F1F1"/>
          </w:tcPr>
          <w:p>
            <w:pPr>
              <w:spacing w:before="60" w:after="100" w:line="252" w:lineRule="auto"/>
            </w:pPr>
            <w:r>
              <w:rPr>
                <w:b/>
                <w:sz w:val="20"/>
              </w:rPr>
              <w:t>Next 5</w:t>
            </w:r>
          </w:p>
        </w:tc>
        <w:tc>
          <w:tcPr>
            <w:tcW w:type="dxa" w:w="2016"/>
            <w:shd w:fill="F1F1F1"/>
          </w:tcPr>
          <w:p>
            <w:pPr>
              <w:spacing w:before="60" w:after="100" w:line="252" w:lineRule="auto"/>
            </w:pPr>
            <w:r>
              <w:rPr>
                <w:b/>
                <w:sz w:val="20"/>
              </w:rPr>
              <w:t>Next 10</w:t>
            </w:r>
          </w:p>
        </w:tc>
        <w:tc>
          <w:tcPr>
            <w:tcW w:type="dxa" w:w="2016"/>
            <w:shd w:fill="F1F1F1"/>
          </w:tcPr>
          <w:p>
            <w:pPr>
              <w:spacing w:before="60" w:after="100" w:line="252" w:lineRule="auto"/>
            </w:pPr>
            <w:r>
              <w:rPr>
                <w:b/>
                <w:sz w:val="20"/>
              </w:rPr>
              <w:t>Next 21</w:t>
            </w:r>
          </w:p>
        </w:tc>
      </w:tr>
      <w:tr>
        <w:trPr>
          <w:cantSplit/>
        </w:trPr>
        <w:tc>
          <w:tcPr>
            <w:tcW w:type="dxa" w:w="4464"/>
          </w:tcPr>
          <w:p>
            <w:pPr>
              <w:spacing w:before="60" w:after="100" w:line="252" w:lineRule="auto"/>
            </w:pPr>
            <w:r>
              <w:rPr>
                <w:b w:val="0"/>
                <w:sz w:val="20"/>
              </w:rPr>
              <w:t>Warning active (33 dates)</w:t>
            </w:r>
          </w:p>
        </w:tc>
        <w:tc>
          <w:tcPr>
            <w:tcW w:type="dxa" w:w="2016"/>
          </w:tcPr>
          <w:p>
            <w:pPr>
              <w:spacing w:before="60" w:after="100" w:line="252" w:lineRule="auto"/>
            </w:pPr>
            <w:r>
              <w:rPr>
                <w:b w:val="0"/>
                <w:sz w:val="20"/>
              </w:rPr>
              <w:t>-0.41%</w:t>
            </w:r>
          </w:p>
        </w:tc>
        <w:tc>
          <w:tcPr>
            <w:tcW w:type="dxa" w:w="2016"/>
          </w:tcPr>
          <w:p>
            <w:pPr>
              <w:spacing w:before="60" w:after="100" w:line="252" w:lineRule="auto"/>
            </w:pPr>
            <w:r>
              <w:rPr>
                <w:b w:val="0"/>
                <w:sz w:val="20"/>
              </w:rPr>
              <w:t>-0.13%</w:t>
            </w:r>
          </w:p>
        </w:tc>
        <w:tc>
          <w:tcPr>
            <w:tcW w:type="dxa" w:w="2016"/>
          </w:tcPr>
          <w:p>
            <w:pPr>
              <w:spacing w:before="60" w:after="100" w:line="252" w:lineRule="auto"/>
            </w:pPr>
            <w:r>
              <w:rPr>
                <w:b w:val="0"/>
                <w:sz w:val="20"/>
              </w:rPr>
              <w:t>-0.16%</w:t>
            </w:r>
          </w:p>
        </w:tc>
      </w:tr>
      <w:tr>
        <w:trPr>
          <w:cantSplit/>
        </w:trPr>
        <w:tc>
          <w:tcPr>
            <w:tcW w:type="dxa" w:w="4464"/>
          </w:tcPr>
          <w:p>
            <w:pPr>
              <w:spacing w:before="60" w:after="100" w:line="252" w:lineRule="auto"/>
            </w:pPr>
            <w:r>
              <w:rPr>
                <w:b w:val="0"/>
                <w:sz w:val="20"/>
              </w:rPr>
              <w:t>All dates (6,129)</w:t>
            </w:r>
          </w:p>
        </w:tc>
        <w:tc>
          <w:tcPr>
            <w:tcW w:type="dxa" w:w="2016"/>
          </w:tcPr>
          <w:p>
            <w:pPr>
              <w:spacing w:before="60" w:after="100" w:line="252" w:lineRule="auto"/>
            </w:pPr>
            <w:r>
              <w:rPr>
                <w:b w:val="0"/>
                <w:sz w:val="20"/>
              </w:rPr>
              <w:t>+0.22%</w:t>
            </w:r>
          </w:p>
        </w:tc>
        <w:tc>
          <w:tcPr>
            <w:tcW w:type="dxa" w:w="2016"/>
          </w:tcPr>
          <w:p>
            <w:pPr>
              <w:spacing w:before="60" w:after="100" w:line="252" w:lineRule="auto"/>
            </w:pPr>
            <w:r>
              <w:rPr>
                <w:b w:val="0"/>
                <w:sz w:val="20"/>
              </w:rPr>
              <w:t>+0.44%</w:t>
            </w:r>
          </w:p>
        </w:tc>
        <w:tc>
          <w:tcPr>
            <w:tcW w:type="dxa" w:w="2016"/>
          </w:tcPr>
          <w:p>
            <w:pPr>
              <w:spacing w:before="60" w:after="100" w:line="252" w:lineRule="auto"/>
            </w:pPr>
            <w:r>
              <w:rPr>
                <w:b w:val="0"/>
                <w:sz w:val="20"/>
              </w:rPr>
              <w:t>+0.91%</w:t>
            </w:r>
          </w:p>
        </w:tc>
      </w:tr>
    </w:tbl>
    <w:p>
      <w:pPr>
        <w:pStyle w:val="Heading1"/>
      </w:pPr>
      <w:r>
        <w:t>NYSE Net Highs</w:t>
      </w:r>
    </w:p>
    <w:p>
      <w:r>
        <w:rPr>
          <w:b w:val="0"/>
        </w:rPr>
        <w:t>Subtracts new 52-week lows from new 52-week highs on the New York Stock Exchange (NYSE). A negative total means more listed securities are making lows than highs. When SPY is still near its own 252-session high, that mismatch suggests the index is masking weakness across the broader market. The warning reads a five-session exponential average of the total, so a single quiet day inside a negative stretch does not switch it on or off.</w:t>
      </w:r>
    </w:p>
    <w:tbl>
      <w:tblPr>
        <w:tblW w:type="auto" w:w="0"/>
        <w:tblLayout w:type="fixed"/>
        <w:tblLook w:firstColumn="1" w:firstRow="1" w:lastColumn="0" w:lastRow="0" w:noHBand="0" w:noVBand="1" w:val="04A0"/>
      </w:tblPr>
      <w:tblGrid>
        <w:gridCol w:w="4464"/>
        <w:gridCol w:w="2016"/>
        <w:gridCol w:w="2016"/>
        <w:gridCol w:w="2016"/>
      </w:tblGrid>
      <w:tr>
        <w:trPr>
          <w:cantSplit/>
        </w:trPr>
        <w:tc>
          <w:tcPr>
            <w:tcW w:type="dxa" w:w="4464"/>
            <w:shd w:fill="F1F1F1"/>
          </w:tcPr>
          <w:p>
            <w:pPr>
              <w:spacing w:before="60" w:after="100" w:line="252" w:lineRule="auto"/>
            </w:pPr>
            <w:r>
              <w:rPr>
                <w:b/>
                <w:sz w:val="20"/>
              </w:rPr>
              <w:t>Average SPY return</w:t>
            </w:r>
          </w:p>
        </w:tc>
        <w:tc>
          <w:tcPr>
            <w:tcW w:type="dxa" w:w="2016"/>
            <w:shd w:fill="F1F1F1"/>
          </w:tcPr>
          <w:p>
            <w:pPr>
              <w:spacing w:before="60" w:after="100" w:line="252" w:lineRule="auto"/>
            </w:pPr>
            <w:r>
              <w:rPr>
                <w:b/>
                <w:sz w:val="20"/>
              </w:rPr>
              <w:t>Next 5</w:t>
            </w:r>
          </w:p>
        </w:tc>
        <w:tc>
          <w:tcPr>
            <w:tcW w:type="dxa" w:w="2016"/>
            <w:shd w:fill="F1F1F1"/>
          </w:tcPr>
          <w:p>
            <w:pPr>
              <w:spacing w:before="60" w:after="100" w:line="252" w:lineRule="auto"/>
            </w:pPr>
            <w:r>
              <w:rPr>
                <w:b/>
                <w:sz w:val="20"/>
              </w:rPr>
              <w:t>Next 10</w:t>
            </w:r>
          </w:p>
        </w:tc>
        <w:tc>
          <w:tcPr>
            <w:tcW w:type="dxa" w:w="2016"/>
            <w:shd w:fill="F1F1F1"/>
          </w:tcPr>
          <w:p>
            <w:pPr>
              <w:spacing w:before="60" w:after="100" w:line="252" w:lineRule="auto"/>
            </w:pPr>
            <w:r>
              <w:rPr>
                <w:b/>
                <w:sz w:val="20"/>
              </w:rPr>
              <w:t>Next 21</w:t>
            </w:r>
          </w:p>
        </w:tc>
      </w:tr>
      <w:tr>
        <w:trPr>
          <w:cantSplit/>
        </w:trPr>
        <w:tc>
          <w:tcPr>
            <w:tcW w:type="dxa" w:w="4464"/>
          </w:tcPr>
          <w:p>
            <w:pPr>
              <w:spacing w:before="60" w:after="100" w:line="252" w:lineRule="auto"/>
            </w:pPr>
            <w:r>
              <w:rPr>
                <w:b w:val="0"/>
                <w:sz w:val="20"/>
              </w:rPr>
              <w:t>Warning active (224 dates)</w:t>
            </w:r>
          </w:p>
        </w:tc>
        <w:tc>
          <w:tcPr>
            <w:tcW w:type="dxa" w:w="2016"/>
          </w:tcPr>
          <w:p>
            <w:pPr>
              <w:spacing w:before="60" w:after="100" w:line="252" w:lineRule="auto"/>
            </w:pPr>
            <w:r>
              <w:rPr>
                <w:b w:val="0"/>
                <w:sz w:val="20"/>
              </w:rPr>
              <w:t>-0.43%</w:t>
            </w:r>
          </w:p>
        </w:tc>
        <w:tc>
          <w:tcPr>
            <w:tcW w:type="dxa" w:w="2016"/>
          </w:tcPr>
          <w:p>
            <w:pPr>
              <w:spacing w:before="60" w:after="100" w:line="252" w:lineRule="auto"/>
            </w:pPr>
            <w:r>
              <w:rPr>
                <w:b w:val="0"/>
                <w:sz w:val="20"/>
              </w:rPr>
              <w:t>-0.69%</w:t>
            </w:r>
          </w:p>
        </w:tc>
        <w:tc>
          <w:tcPr>
            <w:tcW w:type="dxa" w:w="2016"/>
          </w:tcPr>
          <w:p>
            <w:pPr>
              <w:spacing w:before="60" w:after="100" w:line="252" w:lineRule="auto"/>
            </w:pPr>
            <w:r>
              <w:rPr>
                <w:b w:val="0"/>
                <w:sz w:val="20"/>
              </w:rPr>
              <w:t>-0.84%</w:t>
            </w:r>
          </w:p>
        </w:tc>
      </w:tr>
      <w:tr>
        <w:trPr>
          <w:cantSplit/>
        </w:trPr>
        <w:tc>
          <w:tcPr>
            <w:tcW w:type="dxa" w:w="4464"/>
          </w:tcPr>
          <w:p>
            <w:pPr>
              <w:spacing w:before="60" w:after="100" w:line="252" w:lineRule="auto"/>
            </w:pPr>
            <w:r>
              <w:rPr>
                <w:b w:val="0"/>
                <w:sz w:val="20"/>
              </w:rPr>
              <w:t>All dates (6,043)</w:t>
            </w:r>
          </w:p>
        </w:tc>
        <w:tc>
          <w:tcPr>
            <w:tcW w:type="dxa" w:w="2016"/>
          </w:tcPr>
          <w:p>
            <w:pPr>
              <w:spacing w:before="60" w:after="100" w:line="252" w:lineRule="auto"/>
            </w:pPr>
            <w:r>
              <w:rPr>
                <w:b w:val="0"/>
                <w:sz w:val="20"/>
              </w:rPr>
              <w:t>+0.21%</w:t>
            </w:r>
          </w:p>
        </w:tc>
        <w:tc>
          <w:tcPr>
            <w:tcW w:type="dxa" w:w="2016"/>
          </w:tcPr>
          <w:p>
            <w:pPr>
              <w:spacing w:before="60" w:after="100" w:line="252" w:lineRule="auto"/>
            </w:pPr>
            <w:r>
              <w:rPr>
                <w:b w:val="0"/>
                <w:sz w:val="20"/>
              </w:rPr>
              <w:t>+0.42%</w:t>
            </w:r>
          </w:p>
        </w:tc>
        <w:tc>
          <w:tcPr>
            <w:tcW w:type="dxa" w:w="2016"/>
          </w:tcPr>
          <w:p>
            <w:pPr>
              <w:spacing w:before="60" w:after="100" w:line="252" w:lineRule="auto"/>
            </w:pPr>
            <w:r>
              <w:rPr>
                <w:b w:val="0"/>
                <w:sz w:val="20"/>
              </w:rPr>
              <w:t>+0.89%</w:t>
            </w:r>
          </w:p>
        </w:tc>
      </w:tr>
    </w:tbl>
    <w:p>
      <w:pPr>
        <w:pStyle w:val="Heading1"/>
        <w:pageBreakBefore/>
      </w:pPr>
      <w:r>
        <w:t>How to read the dial</w:t>
      </w:r>
    </w:p>
    <w:p>
      <w:r>
        <w:rPr>
          <w:b w:val="0"/>
        </w:rPr>
        <w:t>In this study, higher readings were followed by weaker returns. Below 20, the average next-month return was +1.33%. At 55 or above, it was +0.30%, and the average week ahead was slightly negative. The table shows the full range.</w:t>
      </w:r>
    </w:p>
    <w:tbl>
      <w:tblPr>
        <w:tblW w:type="auto" w:w="0"/>
        <w:tblLayout w:type="fixed"/>
        <w:tblLook w:firstColumn="1" w:firstRow="1" w:lastColumn="0" w:lastRow="0" w:noHBand="0" w:noVBand="1" w:val="04A0"/>
      </w:tblPr>
      <w:tblGrid>
        <w:gridCol w:w="4032"/>
        <w:gridCol w:w="864"/>
        <w:gridCol w:w="1872"/>
        <w:gridCol w:w="1872"/>
        <w:gridCol w:w="1872"/>
      </w:tblGrid>
      <w:tr>
        <w:trPr>
          <w:cantSplit/>
        </w:trPr>
        <w:tc>
          <w:tcPr>
            <w:tcW w:type="dxa" w:w="4032"/>
            <w:shd w:fill="F1F1F1"/>
          </w:tcPr>
          <w:p>
            <w:pPr>
              <w:spacing w:before="60" w:after="100" w:line="252" w:lineRule="auto"/>
            </w:pPr>
            <w:r>
              <w:rPr>
                <w:b/>
                <w:sz w:val="20"/>
              </w:rPr>
              <w:t>Main dial</w:t>
            </w:r>
          </w:p>
        </w:tc>
        <w:tc>
          <w:tcPr>
            <w:tcW w:type="dxa" w:w="864"/>
            <w:shd w:fill="F1F1F1"/>
          </w:tcPr>
          <w:p>
            <w:pPr>
              <w:spacing w:before="60" w:after="100" w:line="252" w:lineRule="auto"/>
            </w:pPr>
            <w:r>
              <w:rPr>
                <w:b/>
                <w:sz w:val="20"/>
              </w:rPr>
              <w:t>Dates</w:t>
            </w:r>
          </w:p>
        </w:tc>
        <w:tc>
          <w:tcPr>
            <w:tcW w:type="dxa" w:w="1872"/>
            <w:shd w:fill="F1F1F1"/>
          </w:tcPr>
          <w:p>
            <w:pPr>
              <w:spacing w:before="60" w:after="100" w:line="252" w:lineRule="auto"/>
            </w:pPr>
            <w:r>
              <w:rPr>
                <w:b/>
                <w:sz w:val="20"/>
              </w:rPr>
              <w:t>Next 5</w:t>
            </w:r>
          </w:p>
        </w:tc>
        <w:tc>
          <w:tcPr>
            <w:tcW w:type="dxa" w:w="1872"/>
            <w:shd w:fill="F1F1F1"/>
          </w:tcPr>
          <w:p>
            <w:pPr>
              <w:spacing w:before="60" w:after="100" w:line="252" w:lineRule="auto"/>
            </w:pPr>
            <w:r>
              <w:rPr>
                <w:b/>
                <w:sz w:val="20"/>
              </w:rPr>
              <w:t>Next 10</w:t>
            </w:r>
          </w:p>
        </w:tc>
        <w:tc>
          <w:tcPr>
            <w:tcW w:type="dxa" w:w="1872"/>
            <w:shd w:fill="F1F1F1"/>
          </w:tcPr>
          <w:p>
            <w:pPr>
              <w:spacing w:before="60" w:after="100" w:line="252" w:lineRule="auto"/>
            </w:pPr>
            <w:r>
              <w:rPr>
                <w:b/>
                <w:sz w:val="20"/>
              </w:rPr>
              <w:t>Next 21</w:t>
            </w:r>
          </w:p>
        </w:tc>
      </w:tr>
      <w:tr>
        <w:trPr>
          <w:cantSplit/>
        </w:trPr>
        <w:tc>
          <w:tcPr>
            <w:tcW w:type="dxa" w:w="4032"/>
          </w:tcPr>
          <w:p>
            <w:pPr>
              <w:spacing w:before="60" w:after="100" w:line="252" w:lineRule="auto"/>
            </w:pPr>
            <w:r>
              <w:rPr>
                <w:b w:val="0"/>
                <w:sz w:val="20"/>
              </w:rPr>
              <w:t>0–&lt;20</w:t>
            </w:r>
          </w:p>
        </w:tc>
        <w:tc>
          <w:tcPr>
            <w:tcW w:type="dxa" w:w="864"/>
          </w:tcPr>
          <w:p>
            <w:pPr>
              <w:spacing w:before="60" w:after="100" w:line="252" w:lineRule="auto"/>
            </w:pPr>
            <w:r>
              <w:rPr>
                <w:b w:val="0"/>
                <w:sz w:val="20"/>
              </w:rPr>
              <w:t>2,594</w:t>
            </w:r>
          </w:p>
        </w:tc>
        <w:tc>
          <w:tcPr>
            <w:tcW w:type="dxa" w:w="1872"/>
          </w:tcPr>
          <w:p>
            <w:pPr>
              <w:spacing w:before="60" w:after="100" w:line="252" w:lineRule="auto"/>
            </w:pPr>
            <w:r>
              <w:rPr>
                <w:b w:val="0"/>
                <w:sz w:val="20"/>
              </w:rPr>
              <w:t>+0.31%</w:t>
            </w:r>
          </w:p>
        </w:tc>
        <w:tc>
          <w:tcPr>
            <w:tcW w:type="dxa" w:w="1872"/>
          </w:tcPr>
          <w:p>
            <w:pPr>
              <w:spacing w:before="60" w:after="100" w:line="252" w:lineRule="auto"/>
            </w:pPr>
            <w:r>
              <w:rPr>
                <w:b w:val="0"/>
                <w:sz w:val="20"/>
              </w:rPr>
              <w:t>+0.66%</w:t>
            </w:r>
          </w:p>
        </w:tc>
        <w:tc>
          <w:tcPr>
            <w:tcW w:type="dxa" w:w="1872"/>
          </w:tcPr>
          <w:p>
            <w:pPr>
              <w:spacing w:before="60" w:after="100" w:line="252" w:lineRule="auto"/>
            </w:pPr>
            <w:r>
              <w:rPr>
                <w:b w:val="0"/>
                <w:sz w:val="20"/>
              </w:rPr>
              <w:t>+1.33%</w:t>
            </w:r>
          </w:p>
        </w:tc>
      </w:tr>
      <w:tr>
        <w:trPr>
          <w:cantSplit/>
        </w:trPr>
        <w:tc>
          <w:tcPr>
            <w:tcW w:type="dxa" w:w="4032"/>
          </w:tcPr>
          <w:p>
            <w:pPr>
              <w:spacing w:before="60" w:after="100" w:line="252" w:lineRule="auto"/>
            </w:pPr>
            <w:r>
              <w:rPr>
                <w:b w:val="0"/>
                <w:sz w:val="20"/>
              </w:rPr>
              <w:t>20–&lt;40</w:t>
            </w:r>
          </w:p>
        </w:tc>
        <w:tc>
          <w:tcPr>
            <w:tcW w:type="dxa" w:w="864"/>
          </w:tcPr>
          <w:p>
            <w:pPr>
              <w:spacing w:before="60" w:after="100" w:line="252" w:lineRule="auto"/>
            </w:pPr>
            <w:r>
              <w:rPr>
                <w:b w:val="0"/>
                <w:sz w:val="20"/>
              </w:rPr>
              <w:t>1,533</w:t>
            </w:r>
          </w:p>
        </w:tc>
        <w:tc>
          <w:tcPr>
            <w:tcW w:type="dxa" w:w="1872"/>
          </w:tcPr>
          <w:p>
            <w:pPr>
              <w:spacing w:before="60" w:after="100" w:line="252" w:lineRule="auto"/>
            </w:pPr>
            <w:r>
              <w:rPr>
                <w:b w:val="0"/>
                <w:sz w:val="20"/>
              </w:rPr>
              <w:t>+0.29%</w:t>
            </w:r>
          </w:p>
        </w:tc>
        <w:tc>
          <w:tcPr>
            <w:tcW w:type="dxa" w:w="1872"/>
          </w:tcPr>
          <w:p>
            <w:pPr>
              <w:spacing w:before="60" w:after="100" w:line="252" w:lineRule="auto"/>
            </w:pPr>
            <w:r>
              <w:rPr>
                <w:b w:val="0"/>
                <w:sz w:val="20"/>
              </w:rPr>
              <w:t>+0.45%</w:t>
            </w:r>
          </w:p>
        </w:tc>
        <w:tc>
          <w:tcPr>
            <w:tcW w:type="dxa" w:w="1872"/>
          </w:tcPr>
          <w:p>
            <w:pPr>
              <w:spacing w:before="60" w:after="100" w:line="252" w:lineRule="auto"/>
            </w:pPr>
            <w:r>
              <w:rPr>
                <w:b w:val="0"/>
                <w:sz w:val="20"/>
              </w:rPr>
              <w:t>+0.80%</w:t>
            </w:r>
          </w:p>
        </w:tc>
      </w:tr>
      <w:tr>
        <w:trPr>
          <w:cantSplit/>
        </w:trPr>
        <w:tc>
          <w:tcPr>
            <w:tcW w:type="dxa" w:w="4032"/>
          </w:tcPr>
          <w:p>
            <w:pPr>
              <w:spacing w:before="60" w:after="100" w:line="252" w:lineRule="auto"/>
            </w:pPr>
            <w:r>
              <w:rPr>
                <w:b w:val="0"/>
                <w:sz w:val="20"/>
              </w:rPr>
              <w:t>40–&lt;55</w:t>
            </w:r>
          </w:p>
        </w:tc>
        <w:tc>
          <w:tcPr>
            <w:tcW w:type="dxa" w:w="864"/>
          </w:tcPr>
          <w:p>
            <w:pPr>
              <w:spacing w:before="60" w:after="100" w:line="252" w:lineRule="auto"/>
            </w:pPr>
            <w:r>
              <w:rPr>
                <w:b w:val="0"/>
                <w:sz w:val="20"/>
              </w:rPr>
              <w:t>1,087</w:t>
            </w:r>
          </w:p>
        </w:tc>
        <w:tc>
          <w:tcPr>
            <w:tcW w:type="dxa" w:w="1872"/>
          </w:tcPr>
          <w:p>
            <w:pPr>
              <w:spacing w:before="60" w:after="100" w:line="252" w:lineRule="auto"/>
            </w:pPr>
            <w:r>
              <w:rPr>
                <w:b w:val="0"/>
                <w:sz w:val="20"/>
              </w:rPr>
              <w:t>+0.10%</w:t>
            </w:r>
          </w:p>
        </w:tc>
        <w:tc>
          <w:tcPr>
            <w:tcW w:type="dxa" w:w="1872"/>
          </w:tcPr>
          <w:p>
            <w:pPr>
              <w:spacing w:before="60" w:after="100" w:line="252" w:lineRule="auto"/>
            </w:pPr>
            <w:r>
              <w:rPr>
                <w:b w:val="0"/>
                <w:sz w:val="20"/>
              </w:rPr>
              <w:t>+0.25%</w:t>
            </w:r>
          </w:p>
        </w:tc>
        <w:tc>
          <w:tcPr>
            <w:tcW w:type="dxa" w:w="1872"/>
          </w:tcPr>
          <w:p>
            <w:pPr>
              <w:spacing w:before="60" w:after="100" w:line="252" w:lineRule="auto"/>
            </w:pPr>
            <w:r>
              <w:rPr>
                <w:b w:val="0"/>
                <w:sz w:val="20"/>
              </w:rPr>
              <w:t>+0.59%</w:t>
            </w:r>
          </w:p>
        </w:tc>
      </w:tr>
      <w:tr>
        <w:trPr>
          <w:cantSplit/>
        </w:trPr>
        <w:tc>
          <w:tcPr>
            <w:tcW w:type="dxa" w:w="4032"/>
          </w:tcPr>
          <w:p>
            <w:pPr>
              <w:spacing w:before="60" w:after="100" w:line="252" w:lineRule="auto"/>
            </w:pPr>
            <w:r>
              <w:rPr>
                <w:b w:val="0"/>
                <w:sz w:val="20"/>
              </w:rPr>
              <w:t>55–&lt;65</w:t>
            </w:r>
          </w:p>
        </w:tc>
        <w:tc>
          <w:tcPr>
            <w:tcW w:type="dxa" w:w="864"/>
          </w:tcPr>
          <w:p>
            <w:pPr>
              <w:spacing w:before="60" w:after="100" w:line="252" w:lineRule="auto"/>
            </w:pPr>
            <w:r>
              <w:rPr>
                <w:b w:val="0"/>
                <w:sz w:val="20"/>
              </w:rPr>
              <w:t>448</w:t>
            </w:r>
          </w:p>
        </w:tc>
        <w:tc>
          <w:tcPr>
            <w:tcW w:type="dxa" w:w="1872"/>
          </w:tcPr>
          <w:p>
            <w:pPr>
              <w:spacing w:before="60" w:after="100" w:line="252" w:lineRule="auto"/>
            </w:pPr>
            <w:r>
              <w:rPr>
                <w:b w:val="0"/>
                <w:sz w:val="20"/>
              </w:rPr>
              <w:t>+0.13%</w:t>
            </w:r>
          </w:p>
        </w:tc>
        <w:tc>
          <w:tcPr>
            <w:tcW w:type="dxa" w:w="1872"/>
          </w:tcPr>
          <w:p>
            <w:pPr>
              <w:spacing w:before="60" w:after="100" w:line="252" w:lineRule="auto"/>
            </w:pPr>
            <w:r>
              <w:rPr>
                <w:b w:val="0"/>
                <w:sz w:val="20"/>
              </w:rPr>
              <w:t>+0.31%</w:t>
            </w:r>
          </w:p>
        </w:tc>
        <w:tc>
          <w:tcPr>
            <w:tcW w:type="dxa" w:w="1872"/>
          </w:tcPr>
          <w:p>
            <w:pPr>
              <w:spacing w:before="60" w:after="100" w:line="252" w:lineRule="auto"/>
            </w:pPr>
            <w:r>
              <w:rPr>
                <w:b w:val="0"/>
                <w:sz w:val="20"/>
              </w:rPr>
              <w:t>+0.86%</w:t>
            </w:r>
          </w:p>
        </w:tc>
      </w:tr>
      <w:tr>
        <w:trPr>
          <w:cantSplit/>
        </w:trPr>
        <w:tc>
          <w:tcPr>
            <w:tcW w:type="dxa" w:w="4032"/>
          </w:tcPr>
          <w:p>
            <w:pPr>
              <w:spacing w:before="60" w:after="100" w:line="252" w:lineRule="auto"/>
            </w:pPr>
            <w:r>
              <w:rPr>
                <w:b w:val="0"/>
                <w:sz w:val="20"/>
              </w:rPr>
              <w:t>65–&lt;80</w:t>
            </w:r>
          </w:p>
        </w:tc>
        <w:tc>
          <w:tcPr>
            <w:tcW w:type="dxa" w:w="864"/>
          </w:tcPr>
          <w:p>
            <w:pPr>
              <w:spacing w:before="60" w:after="100" w:line="252" w:lineRule="auto"/>
            </w:pPr>
            <w:r>
              <w:rPr>
                <w:b w:val="0"/>
                <w:sz w:val="20"/>
              </w:rPr>
              <w:t>318</w:t>
            </w:r>
          </w:p>
        </w:tc>
        <w:tc>
          <w:tcPr>
            <w:tcW w:type="dxa" w:w="1872"/>
          </w:tcPr>
          <w:p>
            <w:pPr>
              <w:spacing w:before="60" w:after="100" w:line="252" w:lineRule="auto"/>
            </w:pPr>
            <w:r>
              <w:rPr>
                <w:b w:val="0"/>
                <w:sz w:val="20"/>
              </w:rPr>
              <w:t>-0.17%</w:t>
            </w:r>
          </w:p>
        </w:tc>
        <w:tc>
          <w:tcPr>
            <w:tcW w:type="dxa" w:w="1872"/>
          </w:tcPr>
          <w:p>
            <w:pPr>
              <w:spacing w:before="60" w:after="100" w:line="252" w:lineRule="auto"/>
            </w:pPr>
            <w:r>
              <w:rPr>
                <w:b w:val="0"/>
                <w:sz w:val="20"/>
              </w:rPr>
              <w:t>-0.23%</w:t>
            </w:r>
          </w:p>
        </w:tc>
        <w:tc>
          <w:tcPr>
            <w:tcW w:type="dxa" w:w="1872"/>
          </w:tcPr>
          <w:p>
            <w:pPr>
              <w:spacing w:before="60" w:after="100" w:line="252" w:lineRule="auto"/>
            </w:pPr>
            <w:r>
              <w:rPr>
                <w:b w:val="0"/>
                <w:sz w:val="20"/>
              </w:rPr>
              <w:t>-0.19%</w:t>
            </w:r>
          </w:p>
        </w:tc>
      </w:tr>
      <w:tr>
        <w:trPr>
          <w:cantSplit/>
        </w:trPr>
        <w:tc>
          <w:tcPr>
            <w:tcW w:type="dxa" w:w="4032"/>
          </w:tcPr>
          <w:p>
            <w:pPr>
              <w:spacing w:before="60" w:after="100" w:line="252" w:lineRule="auto"/>
            </w:pPr>
            <w:r>
              <w:rPr>
                <w:b w:val="0"/>
                <w:sz w:val="20"/>
              </w:rPr>
              <w:t>80+</w:t>
            </w:r>
          </w:p>
        </w:tc>
        <w:tc>
          <w:tcPr>
            <w:tcW w:type="dxa" w:w="864"/>
          </w:tcPr>
          <w:p>
            <w:pPr>
              <w:spacing w:before="60" w:after="100" w:line="252" w:lineRule="auto"/>
            </w:pPr>
            <w:r>
              <w:rPr>
                <w:b w:val="0"/>
                <w:sz w:val="20"/>
              </w:rPr>
              <w:t>149</w:t>
            </w:r>
          </w:p>
        </w:tc>
        <w:tc>
          <w:tcPr>
            <w:tcW w:type="dxa" w:w="1872"/>
          </w:tcPr>
          <w:p>
            <w:pPr>
              <w:spacing w:before="60" w:after="100" w:line="252" w:lineRule="auto"/>
            </w:pPr>
            <w:r>
              <w:rPr>
                <w:b w:val="0"/>
                <w:sz w:val="20"/>
              </w:rPr>
              <w:t>-0.18%</w:t>
            </w:r>
          </w:p>
        </w:tc>
        <w:tc>
          <w:tcPr>
            <w:tcW w:type="dxa" w:w="1872"/>
          </w:tcPr>
          <w:p>
            <w:pPr>
              <w:spacing w:before="60" w:after="100" w:line="252" w:lineRule="auto"/>
            </w:pPr>
            <w:r>
              <w:rPr>
                <w:b w:val="0"/>
                <w:sz w:val="20"/>
              </w:rPr>
              <w:t>-0.38%</w:t>
            </w:r>
          </w:p>
        </w:tc>
        <w:tc>
          <w:tcPr>
            <w:tcW w:type="dxa" w:w="1872"/>
          </w:tcPr>
          <w:p>
            <w:pPr>
              <w:spacing w:before="60" w:after="100" w:line="252" w:lineRule="auto"/>
            </w:pPr>
            <w:r>
              <w:rPr>
                <w:b w:val="0"/>
                <w:sz w:val="20"/>
              </w:rPr>
              <w:t>-0.32%</w:t>
            </w:r>
          </w:p>
        </w:tc>
      </w:tr>
      <w:tr>
        <w:trPr>
          <w:cantSplit/>
        </w:trPr>
        <w:tc>
          <w:tcPr>
            <w:tcW w:type="dxa" w:w="4032"/>
          </w:tcPr>
          <w:p>
            <w:pPr>
              <w:spacing w:before="60" w:after="100" w:line="252" w:lineRule="auto"/>
            </w:pPr>
            <w:r>
              <w:rPr>
                <w:b w:val="0"/>
                <w:sz w:val="20"/>
              </w:rPr>
              <w:t>All dates</w:t>
            </w:r>
          </w:p>
        </w:tc>
        <w:tc>
          <w:tcPr>
            <w:tcW w:type="dxa" w:w="864"/>
          </w:tcPr>
          <w:p>
            <w:pPr>
              <w:spacing w:before="60" w:after="100" w:line="252" w:lineRule="auto"/>
            </w:pPr>
            <w:r>
              <w:rPr>
                <w:b w:val="0"/>
                <w:sz w:val="20"/>
              </w:rPr>
              <w:t>6,129</w:t>
            </w:r>
          </w:p>
        </w:tc>
        <w:tc>
          <w:tcPr>
            <w:tcW w:type="dxa" w:w="1872"/>
          </w:tcPr>
          <w:p>
            <w:pPr>
              <w:spacing w:before="60" w:after="100" w:line="252" w:lineRule="auto"/>
            </w:pPr>
            <w:r>
              <w:rPr>
                <w:b w:val="0"/>
                <w:sz w:val="20"/>
              </w:rPr>
              <w:t>+0.22%</w:t>
            </w:r>
          </w:p>
        </w:tc>
        <w:tc>
          <w:tcPr>
            <w:tcW w:type="dxa" w:w="1872"/>
          </w:tcPr>
          <w:p>
            <w:pPr>
              <w:spacing w:before="60" w:after="100" w:line="252" w:lineRule="auto"/>
            </w:pPr>
            <w:r>
              <w:rPr>
                <w:b w:val="0"/>
                <w:sz w:val="20"/>
              </w:rPr>
              <w:t>+0.44%</w:t>
            </w:r>
          </w:p>
        </w:tc>
        <w:tc>
          <w:tcPr>
            <w:tcW w:type="dxa" w:w="1872"/>
          </w:tcPr>
          <w:p>
            <w:pPr>
              <w:spacing w:before="60" w:after="100" w:line="252" w:lineRule="auto"/>
            </w:pPr>
            <w:r>
              <w:rPr>
                <w:b w:val="0"/>
                <w:sz w:val="20"/>
              </w:rPr>
              <w:t>+0.91%</w:t>
            </w:r>
          </w:p>
        </w:tc>
      </w:tr>
    </w:tbl>
    <w:p>
      <w:pPr>
        <w:pStyle w:val="Heading1"/>
      </w:pPr>
      <w:r>
        <w:t>What the ranges mean</w:t>
      </w:r>
    </w:p>
    <w:p>
      <w:r>
        <w:rPr>
          <w:b w:val="0"/>
        </w:rPr>
      </w:r>
      <w:r>
        <w:rPr>
          <w:b/>
        </w:rPr>
        <w:t>Below 20, supportive:</w:t>
      </w:r>
      <w:r>
        <w:rPr>
          <w:b w:val="0"/>
        </w:rPr>
        <w:t xml:space="preserve"> the strongest average returns across all three windows. </w:t>
      </w:r>
      <w:r>
        <w:rPr>
          <w:b/>
        </w:rPr>
        <w:t>20 to 40, constructive:</w:t>
      </w:r>
      <w:r>
        <w:rPr>
          <w:b w:val="0"/>
        </w:rPr>
        <w:t xml:space="preserve"> still positive, with smaller gains than the under-20 group. </w:t>
      </w:r>
      <w:r>
        <w:rPr>
          <w:b/>
        </w:rPr>
        <w:t>40 to 55, caution:</w:t>
      </w:r>
      <w:r>
        <w:rPr>
          <w:b w:val="0"/>
        </w:rPr>
        <w:t xml:space="preserve"> gains narrowed again, to between a half and two thirds of the study average. </w:t>
      </w:r>
      <w:r>
        <w:rPr>
          <w:b/>
        </w:rPr>
        <w:t>55 and above, warning:</w:t>
      </w:r>
      <w:r>
        <w:rPr>
          <w:b w:val="0"/>
        </w:rPr>
        <w:t xml:space="preserve"> the deterioration builds with the reading rather than arriving at the line. The 55 to 65 band still carried positive averages across all three windows; from 65 to 80 all three turned negative; and at 80 and above, on 149 dates, they were weaker still.</w:t>
      </w:r>
    </w:p>
    <w:tbl>
      <w:tblPr>
        <w:tblW w:type="auto" w:w="0"/>
        <w:tblLayout w:type="fixed"/>
        <w:tblLook w:firstColumn="1" w:firstRow="1" w:lastColumn="0" w:lastRow="0" w:noHBand="0" w:noVBand="1" w:val="04A0"/>
      </w:tblPr>
      <w:tblGrid>
        <w:gridCol w:w="4032"/>
        <w:gridCol w:w="864"/>
        <w:gridCol w:w="1872"/>
        <w:gridCol w:w="1872"/>
        <w:gridCol w:w="1872"/>
      </w:tblGrid>
      <w:tr>
        <w:trPr>
          <w:cantSplit/>
        </w:trPr>
        <w:tc>
          <w:tcPr>
            <w:tcW w:type="dxa" w:w="4032"/>
            <w:shd w:fill="F1F1F1"/>
          </w:tcPr>
          <w:p>
            <w:pPr>
              <w:spacing w:before="60" w:after="100" w:line="252" w:lineRule="auto"/>
            </w:pPr>
            <w:r>
              <w:rPr>
                <w:b/>
                <w:sz w:val="20"/>
              </w:rPr>
              <w:t>Main dial</w:t>
            </w:r>
          </w:p>
        </w:tc>
        <w:tc>
          <w:tcPr>
            <w:tcW w:type="dxa" w:w="864"/>
            <w:shd w:fill="F1F1F1"/>
          </w:tcPr>
          <w:p>
            <w:pPr>
              <w:spacing w:before="60" w:after="100" w:line="252" w:lineRule="auto"/>
            </w:pPr>
            <w:r>
              <w:rPr>
                <w:b/>
                <w:sz w:val="20"/>
              </w:rPr>
              <w:t>Dates</w:t>
            </w:r>
          </w:p>
        </w:tc>
        <w:tc>
          <w:tcPr>
            <w:tcW w:type="dxa" w:w="1872"/>
            <w:shd w:fill="F1F1F1"/>
          </w:tcPr>
          <w:p>
            <w:pPr>
              <w:spacing w:before="60" w:after="100" w:line="252" w:lineRule="auto"/>
            </w:pPr>
            <w:r>
              <w:rPr>
                <w:b/>
                <w:sz w:val="20"/>
              </w:rPr>
              <w:t>Next 5</w:t>
            </w:r>
          </w:p>
        </w:tc>
        <w:tc>
          <w:tcPr>
            <w:tcW w:type="dxa" w:w="1872"/>
            <w:shd w:fill="F1F1F1"/>
          </w:tcPr>
          <w:p>
            <w:pPr>
              <w:spacing w:before="60" w:after="100" w:line="252" w:lineRule="auto"/>
            </w:pPr>
            <w:r>
              <w:rPr>
                <w:b/>
                <w:sz w:val="20"/>
              </w:rPr>
              <w:t>Next 10</w:t>
            </w:r>
          </w:p>
        </w:tc>
        <w:tc>
          <w:tcPr>
            <w:tcW w:type="dxa" w:w="1872"/>
            <w:shd w:fill="F1F1F1"/>
          </w:tcPr>
          <w:p>
            <w:pPr>
              <w:spacing w:before="60" w:after="100" w:line="252" w:lineRule="auto"/>
            </w:pPr>
            <w:r>
              <w:rPr>
                <w:b/>
                <w:sz w:val="20"/>
              </w:rPr>
              <w:t>Next 21</w:t>
            </w:r>
          </w:p>
        </w:tc>
      </w:tr>
      <w:tr>
        <w:trPr>
          <w:cantSplit/>
        </w:trPr>
        <w:tc>
          <w:tcPr>
            <w:tcW w:type="dxa" w:w="4032"/>
          </w:tcPr>
          <w:p>
            <w:pPr>
              <w:spacing w:before="60" w:after="100" w:line="252" w:lineRule="auto"/>
            </w:pPr>
            <w:r>
              <w:rPr>
                <w:b w:val="0"/>
                <w:sz w:val="20"/>
              </w:rPr>
              <w:t>Below 55</w:t>
            </w:r>
          </w:p>
        </w:tc>
        <w:tc>
          <w:tcPr>
            <w:tcW w:type="dxa" w:w="864"/>
          </w:tcPr>
          <w:p>
            <w:pPr>
              <w:spacing w:before="60" w:after="100" w:line="252" w:lineRule="auto"/>
            </w:pPr>
            <w:r>
              <w:rPr>
                <w:b w:val="0"/>
                <w:sz w:val="20"/>
              </w:rPr>
              <w:t>5,214</w:t>
            </w:r>
          </w:p>
        </w:tc>
        <w:tc>
          <w:tcPr>
            <w:tcW w:type="dxa" w:w="1872"/>
          </w:tcPr>
          <w:p>
            <w:pPr>
              <w:spacing w:before="60" w:after="100" w:line="252" w:lineRule="auto"/>
            </w:pPr>
            <w:r>
              <w:rPr>
                <w:b w:val="0"/>
                <w:sz w:val="20"/>
              </w:rPr>
              <w:t>+0.26%</w:t>
            </w:r>
          </w:p>
        </w:tc>
        <w:tc>
          <w:tcPr>
            <w:tcW w:type="dxa" w:w="1872"/>
          </w:tcPr>
          <w:p>
            <w:pPr>
              <w:spacing w:before="60" w:after="100" w:line="252" w:lineRule="auto"/>
            </w:pPr>
            <w:r>
              <w:rPr>
                <w:b w:val="0"/>
                <w:sz w:val="20"/>
              </w:rPr>
              <w:t>+0.51%</w:t>
            </w:r>
          </w:p>
        </w:tc>
        <w:tc>
          <w:tcPr>
            <w:tcW w:type="dxa" w:w="1872"/>
          </w:tcPr>
          <w:p>
            <w:pPr>
              <w:spacing w:before="60" w:after="100" w:line="252" w:lineRule="auto"/>
            </w:pPr>
            <w:r>
              <w:rPr>
                <w:b w:val="0"/>
                <w:sz w:val="20"/>
              </w:rPr>
              <w:t>+1.02%</w:t>
            </w:r>
          </w:p>
        </w:tc>
      </w:tr>
      <w:tr>
        <w:trPr>
          <w:cantSplit/>
        </w:trPr>
        <w:tc>
          <w:tcPr>
            <w:tcW w:type="dxa" w:w="4032"/>
          </w:tcPr>
          <w:p>
            <w:pPr>
              <w:spacing w:before="60" w:after="100" w:line="252" w:lineRule="auto"/>
            </w:pPr>
            <w:r>
              <w:rPr>
                <w:b w:val="0"/>
                <w:sz w:val="20"/>
              </w:rPr>
              <w:t>55 or above</w:t>
            </w:r>
          </w:p>
        </w:tc>
        <w:tc>
          <w:tcPr>
            <w:tcW w:type="dxa" w:w="864"/>
          </w:tcPr>
          <w:p>
            <w:pPr>
              <w:spacing w:before="60" w:after="100" w:line="252" w:lineRule="auto"/>
            </w:pPr>
            <w:r>
              <w:rPr>
                <w:b w:val="0"/>
                <w:sz w:val="20"/>
              </w:rPr>
              <w:t>915</w:t>
            </w:r>
          </w:p>
        </w:tc>
        <w:tc>
          <w:tcPr>
            <w:tcW w:type="dxa" w:w="1872"/>
          </w:tcPr>
          <w:p>
            <w:pPr>
              <w:spacing w:before="60" w:after="100" w:line="252" w:lineRule="auto"/>
            </w:pPr>
            <w:r>
              <w:rPr>
                <w:b w:val="0"/>
                <w:sz w:val="20"/>
              </w:rPr>
              <w:t>-0.03%</w:t>
            </w:r>
          </w:p>
        </w:tc>
        <w:tc>
          <w:tcPr>
            <w:tcW w:type="dxa" w:w="1872"/>
          </w:tcPr>
          <w:p>
            <w:pPr>
              <w:spacing w:before="60" w:after="100" w:line="252" w:lineRule="auto"/>
            </w:pPr>
            <w:r>
              <w:rPr>
                <w:b w:val="0"/>
                <w:sz w:val="20"/>
              </w:rPr>
              <w:t>+0.01%</w:t>
            </w:r>
          </w:p>
        </w:tc>
        <w:tc>
          <w:tcPr>
            <w:tcW w:type="dxa" w:w="1872"/>
          </w:tcPr>
          <w:p>
            <w:pPr>
              <w:spacing w:before="60" w:after="100" w:line="252" w:lineRule="auto"/>
            </w:pPr>
            <w:r>
              <w:rPr>
                <w:b w:val="0"/>
                <w:sz w:val="20"/>
              </w:rPr>
              <w:t>+0.30%</w:t>
            </w:r>
          </w:p>
        </w:tc>
      </w:tr>
    </w:tbl>
    <w:p>
      <w:pPr>
        <w:pStyle w:val="Heading1"/>
      </w:pPr>
      <w:r>
        <w:t>Why 55 matters</w:t>
      </w:r>
    </w:p>
    <w:p>
      <w:r>
        <w:rPr>
          <w:b w:val="0"/>
        </w:rPr>
        <w:t>Fifty-five is our working warning threshold because it marks the top 15% of readings in this study, the 85th percentile. The dial is in warning territory about one day in seven: 915 of the 6,129 dates, arriving in 38 separate episodes. Below the line, average returns ran at or above the pace of the study as a whole across all three windows. At 55 and above, the week-ahead average was slightly negative, the two-week average was flat and the month-ahead average was under a third of the figure below the line. The bands show that the deterioration builds with the reading rather than flipping sign at the line, so 55 is a practical dividing line rather than a switch. The score gives us a consistent way to recognize when trading conditions have become less forgiving.</w:t>
      </w:r>
    </w:p>
    <w:p>
      <w:r>
        <w:rPr>
          <w:b w:val="0"/>
        </w:rPr>
        <w:t>The components describe different kinds of pressure: selling activity, defensive leadership, volatility, sector behavior, seasonality and market breadth. Their weights, how recently they fired and the market backdrop determine the score. Reading the component list alongside the dial helps explain what is driving the warning.</w:t>
      </w:r>
    </w:p>
    <w:p>
      <w:pPr>
        <w:pStyle w:val="Heading1"/>
        <w:pageBreakBefore/>
      </w:pPr>
      <w:r>
        <w:t>When the dial matters most</w:t>
      </w:r>
    </w:p>
    <w:p>
      <w:r>
        <w:rPr>
          <w:b w:val="0"/>
        </w:rPr>
        <w:t>Most of the components can only fire while SPY is close to its trailing high. Five of the six price components did so on essentially every warning in this study, and the NYSE warning is defined to require the index within 3% of its high. That is deliberate: the dial is built to flag risk while the index still looks healthy, not to describe a decline already under way. About half the study, 3,032 of the 6,129 dates, had SPY closing less than 2% below its trailing 252-session high. Those are the dates the dial is speaking about, and the same tables look sharper on them.</w:t>
      </w:r>
    </w:p>
    <w:tbl>
      <w:tblPr>
        <w:tblW w:type="auto" w:w="0"/>
        <w:tblLayout w:type="fixed"/>
        <w:tblLook w:firstColumn="1" w:firstRow="1" w:lastColumn="0" w:lastRow="0" w:noHBand="0" w:noVBand="1" w:val="04A0"/>
      </w:tblPr>
      <w:tblGrid>
        <w:gridCol w:w="4032"/>
        <w:gridCol w:w="864"/>
        <w:gridCol w:w="1872"/>
        <w:gridCol w:w="1872"/>
        <w:gridCol w:w="1872"/>
      </w:tblGrid>
      <w:tr>
        <w:trPr>
          <w:cantSplit/>
        </w:trPr>
        <w:tc>
          <w:tcPr>
            <w:tcW w:type="dxa" w:w="4032"/>
            <w:shd w:fill="F1F1F1"/>
          </w:tcPr>
          <w:p>
            <w:pPr>
              <w:spacing w:before="60" w:after="100" w:line="252" w:lineRule="auto"/>
            </w:pPr>
            <w:r>
              <w:rPr>
                <w:b/>
                <w:sz w:val="20"/>
              </w:rPr>
              <w:t>Main dial, near-high dates</w:t>
            </w:r>
          </w:p>
        </w:tc>
        <w:tc>
          <w:tcPr>
            <w:tcW w:type="dxa" w:w="864"/>
            <w:shd w:fill="F1F1F1"/>
          </w:tcPr>
          <w:p>
            <w:pPr>
              <w:spacing w:before="60" w:after="100" w:line="252" w:lineRule="auto"/>
            </w:pPr>
            <w:r>
              <w:rPr>
                <w:b/>
                <w:sz w:val="20"/>
              </w:rPr>
              <w:t>Dates</w:t>
            </w:r>
          </w:p>
        </w:tc>
        <w:tc>
          <w:tcPr>
            <w:tcW w:type="dxa" w:w="1872"/>
            <w:shd w:fill="F1F1F1"/>
          </w:tcPr>
          <w:p>
            <w:pPr>
              <w:spacing w:before="60" w:after="100" w:line="252" w:lineRule="auto"/>
            </w:pPr>
            <w:r>
              <w:rPr>
                <w:b/>
                <w:sz w:val="20"/>
              </w:rPr>
              <w:t>Next 5</w:t>
            </w:r>
          </w:p>
        </w:tc>
        <w:tc>
          <w:tcPr>
            <w:tcW w:type="dxa" w:w="1872"/>
            <w:shd w:fill="F1F1F1"/>
          </w:tcPr>
          <w:p>
            <w:pPr>
              <w:spacing w:before="60" w:after="100" w:line="252" w:lineRule="auto"/>
            </w:pPr>
            <w:r>
              <w:rPr>
                <w:b/>
                <w:sz w:val="20"/>
              </w:rPr>
              <w:t>Next 10</w:t>
            </w:r>
          </w:p>
        </w:tc>
        <w:tc>
          <w:tcPr>
            <w:tcW w:type="dxa" w:w="1872"/>
            <w:shd w:fill="F1F1F1"/>
          </w:tcPr>
          <w:p>
            <w:pPr>
              <w:spacing w:before="60" w:after="100" w:line="252" w:lineRule="auto"/>
            </w:pPr>
            <w:r>
              <w:rPr>
                <w:b/>
                <w:sz w:val="20"/>
              </w:rPr>
              <w:t>Next 21</w:t>
            </w:r>
          </w:p>
        </w:tc>
      </w:tr>
      <w:tr>
        <w:trPr>
          <w:cantSplit/>
        </w:trPr>
        <w:tc>
          <w:tcPr>
            <w:tcW w:type="dxa" w:w="4032"/>
          </w:tcPr>
          <w:p>
            <w:pPr>
              <w:spacing w:before="60" w:after="100" w:line="252" w:lineRule="auto"/>
            </w:pPr>
            <w:r>
              <w:rPr>
                <w:b w:val="0"/>
                <w:sz w:val="20"/>
              </w:rPr>
              <w:t>0–&lt;20</w:t>
            </w:r>
          </w:p>
        </w:tc>
        <w:tc>
          <w:tcPr>
            <w:tcW w:type="dxa" w:w="864"/>
          </w:tcPr>
          <w:p>
            <w:pPr>
              <w:spacing w:before="60" w:after="100" w:line="252" w:lineRule="auto"/>
            </w:pPr>
            <w:r>
              <w:rPr>
                <w:b w:val="0"/>
                <w:sz w:val="20"/>
              </w:rPr>
              <w:t>529</w:t>
            </w:r>
          </w:p>
        </w:tc>
        <w:tc>
          <w:tcPr>
            <w:tcW w:type="dxa" w:w="1872"/>
          </w:tcPr>
          <w:p>
            <w:pPr>
              <w:spacing w:before="60" w:after="100" w:line="252" w:lineRule="auto"/>
            </w:pPr>
            <w:r>
              <w:rPr>
                <w:b w:val="0"/>
                <w:sz w:val="20"/>
              </w:rPr>
              <w:t>+0.39%</w:t>
            </w:r>
          </w:p>
        </w:tc>
        <w:tc>
          <w:tcPr>
            <w:tcW w:type="dxa" w:w="1872"/>
          </w:tcPr>
          <w:p>
            <w:pPr>
              <w:spacing w:before="60" w:after="100" w:line="252" w:lineRule="auto"/>
            </w:pPr>
            <w:r>
              <w:rPr>
                <w:b w:val="0"/>
                <w:sz w:val="20"/>
              </w:rPr>
              <w:t>+0.89%</w:t>
            </w:r>
          </w:p>
        </w:tc>
        <w:tc>
          <w:tcPr>
            <w:tcW w:type="dxa" w:w="1872"/>
          </w:tcPr>
          <w:p>
            <w:pPr>
              <w:spacing w:before="60" w:after="100" w:line="252" w:lineRule="auto"/>
            </w:pPr>
            <w:r>
              <w:rPr>
                <w:b w:val="0"/>
                <w:sz w:val="20"/>
              </w:rPr>
              <w:t>+1.57%</w:t>
            </w:r>
          </w:p>
        </w:tc>
      </w:tr>
      <w:tr>
        <w:trPr>
          <w:cantSplit/>
        </w:trPr>
        <w:tc>
          <w:tcPr>
            <w:tcW w:type="dxa" w:w="4032"/>
          </w:tcPr>
          <w:p>
            <w:pPr>
              <w:spacing w:before="60" w:after="100" w:line="252" w:lineRule="auto"/>
            </w:pPr>
            <w:r>
              <w:rPr>
                <w:b w:val="0"/>
                <w:sz w:val="20"/>
              </w:rPr>
              <w:t>20–&lt;40</w:t>
            </w:r>
          </w:p>
        </w:tc>
        <w:tc>
          <w:tcPr>
            <w:tcW w:type="dxa" w:w="864"/>
          </w:tcPr>
          <w:p>
            <w:pPr>
              <w:spacing w:before="60" w:after="100" w:line="252" w:lineRule="auto"/>
            </w:pPr>
            <w:r>
              <w:rPr>
                <w:b w:val="0"/>
                <w:sz w:val="20"/>
              </w:rPr>
              <w:t>993</w:t>
            </w:r>
          </w:p>
        </w:tc>
        <w:tc>
          <w:tcPr>
            <w:tcW w:type="dxa" w:w="1872"/>
          </w:tcPr>
          <w:p>
            <w:pPr>
              <w:spacing w:before="60" w:after="100" w:line="252" w:lineRule="auto"/>
            </w:pPr>
            <w:r>
              <w:rPr>
                <w:b w:val="0"/>
                <w:sz w:val="20"/>
              </w:rPr>
              <w:t>+0.23%</w:t>
            </w:r>
          </w:p>
        </w:tc>
        <w:tc>
          <w:tcPr>
            <w:tcW w:type="dxa" w:w="1872"/>
          </w:tcPr>
          <w:p>
            <w:pPr>
              <w:spacing w:before="60" w:after="100" w:line="252" w:lineRule="auto"/>
            </w:pPr>
            <w:r>
              <w:rPr>
                <w:b w:val="0"/>
                <w:sz w:val="20"/>
              </w:rPr>
              <w:t>+0.40%</w:t>
            </w:r>
          </w:p>
        </w:tc>
        <w:tc>
          <w:tcPr>
            <w:tcW w:type="dxa" w:w="1872"/>
          </w:tcPr>
          <w:p>
            <w:pPr>
              <w:spacing w:before="60" w:after="100" w:line="252" w:lineRule="auto"/>
            </w:pPr>
            <w:r>
              <w:rPr>
                <w:b w:val="0"/>
                <w:sz w:val="20"/>
              </w:rPr>
              <w:t>+0.67%</w:t>
            </w:r>
          </w:p>
        </w:tc>
      </w:tr>
      <w:tr>
        <w:trPr>
          <w:cantSplit/>
        </w:trPr>
        <w:tc>
          <w:tcPr>
            <w:tcW w:type="dxa" w:w="4032"/>
          </w:tcPr>
          <w:p>
            <w:pPr>
              <w:spacing w:before="60" w:after="100" w:line="252" w:lineRule="auto"/>
            </w:pPr>
            <w:r>
              <w:rPr>
                <w:b w:val="0"/>
                <w:sz w:val="20"/>
              </w:rPr>
              <w:t>40–&lt;55</w:t>
            </w:r>
          </w:p>
        </w:tc>
        <w:tc>
          <w:tcPr>
            <w:tcW w:type="dxa" w:w="864"/>
          </w:tcPr>
          <w:p>
            <w:pPr>
              <w:spacing w:before="60" w:after="100" w:line="252" w:lineRule="auto"/>
            </w:pPr>
            <w:r>
              <w:rPr>
                <w:b w:val="0"/>
                <w:sz w:val="20"/>
              </w:rPr>
              <w:t>812</w:t>
            </w:r>
          </w:p>
        </w:tc>
        <w:tc>
          <w:tcPr>
            <w:tcW w:type="dxa" w:w="1872"/>
          </w:tcPr>
          <w:p>
            <w:pPr>
              <w:spacing w:before="60" w:after="100" w:line="252" w:lineRule="auto"/>
            </w:pPr>
            <w:r>
              <w:rPr>
                <w:b w:val="0"/>
                <w:sz w:val="20"/>
              </w:rPr>
              <w:t>+0.01%</w:t>
            </w:r>
          </w:p>
        </w:tc>
        <w:tc>
          <w:tcPr>
            <w:tcW w:type="dxa" w:w="1872"/>
          </w:tcPr>
          <w:p>
            <w:pPr>
              <w:spacing w:before="60" w:after="100" w:line="252" w:lineRule="auto"/>
            </w:pPr>
            <w:r>
              <w:rPr>
                <w:b w:val="0"/>
                <w:sz w:val="20"/>
              </w:rPr>
              <w:t>+0.06%</w:t>
            </w:r>
          </w:p>
        </w:tc>
        <w:tc>
          <w:tcPr>
            <w:tcW w:type="dxa" w:w="1872"/>
          </w:tcPr>
          <w:p>
            <w:pPr>
              <w:spacing w:before="60" w:after="100" w:line="252" w:lineRule="auto"/>
            </w:pPr>
            <w:r>
              <w:rPr>
                <w:b w:val="0"/>
                <w:sz w:val="20"/>
              </w:rPr>
              <w:t>+0.25%</w:t>
            </w:r>
          </w:p>
        </w:tc>
      </w:tr>
      <w:tr>
        <w:trPr>
          <w:cantSplit/>
        </w:trPr>
        <w:tc>
          <w:tcPr>
            <w:tcW w:type="dxa" w:w="4032"/>
          </w:tcPr>
          <w:p>
            <w:pPr>
              <w:spacing w:before="60" w:after="100" w:line="252" w:lineRule="auto"/>
            </w:pPr>
            <w:r>
              <w:rPr>
                <w:b w:val="0"/>
                <w:sz w:val="20"/>
              </w:rPr>
              <w:t>55–&lt;65</w:t>
            </w:r>
          </w:p>
        </w:tc>
        <w:tc>
          <w:tcPr>
            <w:tcW w:type="dxa" w:w="864"/>
          </w:tcPr>
          <w:p>
            <w:pPr>
              <w:spacing w:before="60" w:after="100" w:line="252" w:lineRule="auto"/>
            </w:pPr>
            <w:r>
              <w:rPr>
                <w:b w:val="0"/>
                <w:sz w:val="20"/>
              </w:rPr>
              <w:t>351</w:t>
            </w:r>
          </w:p>
        </w:tc>
        <w:tc>
          <w:tcPr>
            <w:tcW w:type="dxa" w:w="1872"/>
          </w:tcPr>
          <w:p>
            <w:pPr>
              <w:spacing w:before="60" w:after="100" w:line="252" w:lineRule="auto"/>
            </w:pPr>
            <w:r>
              <w:rPr>
                <w:b w:val="0"/>
                <w:sz w:val="20"/>
              </w:rPr>
              <w:t>+0.03%</w:t>
            </w:r>
          </w:p>
        </w:tc>
        <w:tc>
          <w:tcPr>
            <w:tcW w:type="dxa" w:w="1872"/>
          </w:tcPr>
          <w:p>
            <w:pPr>
              <w:spacing w:before="60" w:after="100" w:line="252" w:lineRule="auto"/>
            </w:pPr>
            <w:r>
              <w:rPr>
                <w:b w:val="0"/>
                <w:sz w:val="20"/>
              </w:rPr>
              <w:t>+0.28%</w:t>
            </w:r>
          </w:p>
        </w:tc>
        <w:tc>
          <w:tcPr>
            <w:tcW w:type="dxa" w:w="1872"/>
          </w:tcPr>
          <w:p>
            <w:pPr>
              <w:spacing w:before="60" w:after="100" w:line="252" w:lineRule="auto"/>
            </w:pPr>
            <w:r>
              <w:rPr>
                <w:b w:val="0"/>
                <w:sz w:val="20"/>
              </w:rPr>
              <w:t>+0.59%</w:t>
            </w:r>
          </w:p>
        </w:tc>
      </w:tr>
      <w:tr>
        <w:trPr>
          <w:cantSplit/>
        </w:trPr>
        <w:tc>
          <w:tcPr>
            <w:tcW w:type="dxa" w:w="4032"/>
          </w:tcPr>
          <w:p>
            <w:pPr>
              <w:spacing w:before="60" w:after="100" w:line="252" w:lineRule="auto"/>
            </w:pPr>
            <w:r>
              <w:rPr>
                <w:b w:val="0"/>
                <w:sz w:val="20"/>
              </w:rPr>
              <w:t>65–&lt;80</w:t>
            </w:r>
          </w:p>
        </w:tc>
        <w:tc>
          <w:tcPr>
            <w:tcW w:type="dxa" w:w="864"/>
          </w:tcPr>
          <w:p>
            <w:pPr>
              <w:spacing w:before="60" w:after="100" w:line="252" w:lineRule="auto"/>
            </w:pPr>
            <w:r>
              <w:rPr>
                <w:b w:val="0"/>
                <w:sz w:val="20"/>
              </w:rPr>
              <w:t>234</w:t>
            </w:r>
          </w:p>
        </w:tc>
        <w:tc>
          <w:tcPr>
            <w:tcW w:type="dxa" w:w="1872"/>
          </w:tcPr>
          <w:p>
            <w:pPr>
              <w:spacing w:before="60" w:after="100" w:line="252" w:lineRule="auto"/>
            </w:pPr>
            <w:r>
              <w:rPr>
                <w:b w:val="0"/>
                <w:sz w:val="20"/>
              </w:rPr>
              <w:t>-0.24%</w:t>
            </w:r>
          </w:p>
        </w:tc>
        <w:tc>
          <w:tcPr>
            <w:tcW w:type="dxa" w:w="1872"/>
          </w:tcPr>
          <w:p>
            <w:pPr>
              <w:spacing w:before="60" w:after="100" w:line="252" w:lineRule="auto"/>
            </w:pPr>
            <w:r>
              <w:rPr>
                <w:b w:val="0"/>
                <w:sz w:val="20"/>
              </w:rPr>
              <w:t>-0.39%</w:t>
            </w:r>
          </w:p>
        </w:tc>
        <w:tc>
          <w:tcPr>
            <w:tcW w:type="dxa" w:w="1872"/>
          </w:tcPr>
          <w:p>
            <w:pPr>
              <w:spacing w:before="60" w:after="100" w:line="252" w:lineRule="auto"/>
            </w:pPr>
            <w:r>
              <w:rPr>
                <w:b w:val="0"/>
                <w:sz w:val="20"/>
              </w:rPr>
              <w:t>-0.79%</w:t>
            </w:r>
          </w:p>
        </w:tc>
      </w:tr>
      <w:tr>
        <w:trPr>
          <w:cantSplit/>
        </w:trPr>
        <w:tc>
          <w:tcPr>
            <w:tcW w:type="dxa" w:w="4032"/>
          </w:tcPr>
          <w:p>
            <w:pPr>
              <w:spacing w:before="60" w:after="100" w:line="252" w:lineRule="auto"/>
            </w:pPr>
            <w:r>
              <w:rPr>
                <w:b w:val="0"/>
                <w:sz w:val="20"/>
              </w:rPr>
              <w:t>80+</w:t>
            </w:r>
          </w:p>
        </w:tc>
        <w:tc>
          <w:tcPr>
            <w:tcW w:type="dxa" w:w="864"/>
          </w:tcPr>
          <w:p>
            <w:pPr>
              <w:spacing w:before="60" w:after="100" w:line="252" w:lineRule="auto"/>
            </w:pPr>
            <w:r>
              <w:rPr>
                <w:b w:val="0"/>
                <w:sz w:val="20"/>
              </w:rPr>
              <w:t>113</w:t>
            </w:r>
          </w:p>
        </w:tc>
        <w:tc>
          <w:tcPr>
            <w:tcW w:type="dxa" w:w="1872"/>
          </w:tcPr>
          <w:p>
            <w:pPr>
              <w:spacing w:before="60" w:after="100" w:line="252" w:lineRule="auto"/>
            </w:pPr>
            <w:r>
              <w:rPr>
                <w:b w:val="0"/>
                <w:sz w:val="20"/>
              </w:rPr>
              <w:t>-0.30%</w:t>
            </w:r>
          </w:p>
        </w:tc>
        <w:tc>
          <w:tcPr>
            <w:tcW w:type="dxa" w:w="1872"/>
          </w:tcPr>
          <w:p>
            <w:pPr>
              <w:spacing w:before="60" w:after="100" w:line="252" w:lineRule="auto"/>
            </w:pPr>
            <w:r>
              <w:rPr>
                <w:b w:val="0"/>
                <w:sz w:val="20"/>
              </w:rPr>
              <w:t>-0.53%</w:t>
            </w:r>
          </w:p>
        </w:tc>
        <w:tc>
          <w:tcPr>
            <w:tcW w:type="dxa" w:w="1872"/>
          </w:tcPr>
          <w:p>
            <w:pPr>
              <w:spacing w:before="60" w:after="100" w:line="252" w:lineRule="auto"/>
            </w:pPr>
            <w:r>
              <w:rPr>
                <w:b w:val="0"/>
                <w:sz w:val="20"/>
              </w:rPr>
              <w:t>-0.84%</w:t>
            </w:r>
          </w:p>
        </w:tc>
      </w:tr>
      <w:tr>
        <w:trPr>
          <w:cantSplit/>
        </w:trPr>
        <w:tc>
          <w:tcPr>
            <w:tcW w:type="dxa" w:w="4032"/>
          </w:tcPr>
          <w:p>
            <w:pPr>
              <w:spacing w:before="60" w:after="100" w:line="252" w:lineRule="auto"/>
            </w:pPr>
            <w:r>
              <w:rPr>
                <w:b w:val="0"/>
                <w:sz w:val="20"/>
              </w:rPr>
              <w:t>All near-high dates</w:t>
            </w:r>
          </w:p>
        </w:tc>
        <w:tc>
          <w:tcPr>
            <w:tcW w:type="dxa" w:w="864"/>
          </w:tcPr>
          <w:p>
            <w:pPr>
              <w:spacing w:before="60" w:after="100" w:line="252" w:lineRule="auto"/>
            </w:pPr>
            <w:r>
              <w:rPr>
                <w:b w:val="0"/>
                <w:sz w:val="20"/>
              </w:rPr>
              <w:t>3,032</w:t>
            </w:r>
          </w:p>
        </w:tc>
        <w:tc>
          <w:tcPr>
            <w:tcW w:type="dxa" w:w="1872"/>
          </w:tcPr>
          <w:p>
            <w:pPr>
              <w:spacing w:before="60" w:after="100" w:line="252" w:lineRule="auto"/>
            </w:pPr>
            <w:r>
              <w:rPr>
                <w:b w:val="0"/>
                <w:sz w:val="20"/>
              </w:rPr>
              <w:t>+0.12%</w:t>
            </w:r>
          </w:p>
        </w:tc>
        <w:tc>
          <w:tcPr>
            <w:tcW w:type="dxa" w:w="1872"/>
          </w:tcPr>
          <w:p>
            <w:pPr>
              <w:spacing w:before="60" w:after="100" w:line="252" w:lineRule="auto"/>
            </w:pPr>
            <w:r>
              <w:rPr>
                <w:b w:val="0"/>
                <w:sz w:val="20"/>
              </w:rPr>
              <w:t>+0.28%</w:t>
            </w:r>
          </w:p>
        </w:tc>
        <w:tc>
          <w:tcPr>
            <w:tcW w:type="dxa" w:w="1872"/>
          </w:tcPr>
          <w:p>
            <w:pPr>
              <w:spacing w:before="60" w:after="100" w:line="252" w:lineRule="auto"/>
            </w:pPr>
            <w:r>
              <w:rPr>
                <w:b w:val="0"/>
                <w:sz w:val="20"/>
              </w:rPr>
              <w:t>+0.54%</w:t>
            </w:r>
          </w:p>
        </w:tc>
      </w:tr>
    </w:tbl>
    <w:p>
      <w:r>
        <w:rPr>
          <w:b w:val="0"/>
        </w:rPr>
        <w:t>Grouped at the 55 line, the same near-high dates look like this:</w:t>
      </w:r>
    </w:p>
    <w:tbl>
      <w:tblPr>
        <w:tblW w:type="auto" w:w="0"/>
        <w:tblLayout w:type="fixed"/>
        <w:tblLook w:firstColumn="1" w:firstRow="1" w:lastColumn="0" w:lastRow="0" w:noHBand="0" w:noVBand="1" w:val="04A0"/>
      </w:tblPr>
      <w:tblGrid>
        <w:gridCol w:w="4032"/>
        <w:gridCol w:w="864"/>
        <w:gridCol w:w="1872"/>
        <w:gridCol w:w="1872"/>
        <w:gridCol w:w="1872"/>
      </w:tblGrid>
      <w:tr>
        <w:trPr>
          <w:cantSplit/>
        </w:trPr>
        <w:tc>
          <w:tcPr>
            <w:tcW w:type="dxa" w:w="4032"/>
            <w:shd w:fill="F1F1F1"/>
          </w:tcPr>
          <w:p>
            <w:pPr>
              <w:spacing w:before="60" w:after="100" w:line="252" w:lineRule="auto"/>
            </w:pPr>
            <w:r>
              <w:rPr>
                <w:b/>
                <w:sz w:val="20"/>
              </w:rPr>
              <w:t>Main dial, near-high dates</w:t>
            </w:r>
          </w:p>
        </w:tc>
        <w:tc>
          <w:tcPr>
            <w:tcW w:type="dxa" w:w="864"/>
            <w:shd w:fill="F1F1F1"/>
          </w:tcPr>
          <w:p>
            <w:pPr>
              <w:spacing w:before="60" w:after="100" w:line="252" w:lineRule="auto"/>
            </w:pPr>
            <w:r>
              <w:rPr>
                <w:b/>
                <w:sz w:val="20"/>
              </w:rPr>
              <w:t>Dates</w:t>
            </w:r>
          </w:p>
        </w:tc>
        <w:tc>
          <w:tcPr>
            <w:tcW w:type="dxa" w:w="1872"/>
            <w:shd w:fill="F1F1F1"/>
          </w:tcPr>
          <w:p>
            <w:pPr>
              <w:spacing w:before="60" w:after="100" w:line="252" w:lineRule="auto"/>
            </w:pPr>
            <w:r>
              <w:rPr>
                <w:b/>
                <w:sz w:val="20"/>
              </w:rPr>
              <w:t>Next 5</w:t>
            </w:r>
          </w:p>
        </w:tc>
        <w:tc>
          <w:tcPr>
            <w:tcW w:type="dxa" w:w="1872"/>
            <w:shd w:fill="F1F1F1"/>
          </w:tcPr>
          <w:p>
            <w:pPr>
              <w:spacing w:before="60" w:after="100" w:line="252" w:lineRule="auto"/>
            </w:pPr>
            <w:r>
              <w:rPr>
                <w:b/>
                <w:sz w:val="20"/>
              </w:rPr>
              <w:t>Next 10</w:t>
            </w:r>
          </w:p>
        </w:tc>
        <w:tc>
          <w:tcPr>
            <w:tcW w:type="dxa" w:w="1872"/>
            <w:shd w:fill="F1F1F1"/>
          </w:tcPr>
          <w:p>
            <w:pPr>
              <w:spacing w:before="60" w:after="100" w:line="252" w:lineRule="auto"/>
            </w:pPr>
            <w:r>
              <w:rPr>
                <w:b/>
                <w:sz w:val="20"/>
              </w:rPr>
              <w:t>Next 21</w:t>
            </w:r>
          </w:p>
        </w:tc>
      </w:tr>
      <w:tr>
        <w:trPr>
          <w:cantSplit/>
        </w:trPr>
        <w:tc>
          <w:tcPr>
            <w:tcW w:type="dxa" w:w="4032"/>
          </w:tcPr>
          <w:p>
            <w:pPr>
              <w:spacing w:before="60" w:after="100" w:line="252" w:lineRule="auto"/>
            </w:pPr>
            <w:r>
              <w:rPr>
                <w:b w:val="0"/>
                <w:sz w:val="20"/>
              </w:rPr>
              <w:t>Below 55</w:t>
            </w:r>
          </w:p>
        </w:tc>
        <w:tc>
          <w:tcPr>
            <w:tcW w:type="dxa" w:w="864"/>
          </w:tcPr>
          <w:p>
            <w:pPr>
              <w:spacing w:before="60" w:after="100" w:line="252" w:lineRule="auto"/>
            </w:pPr>
            <w:r>
              <w:rPr>
                <w:b w:val="0"/>
                <w:sz w:val="20"/>
              </w:rPr>
              <w:t>2,334</w:t>
            </w:r>
          </w:p>
        </w:tc>
        <w:tc>
          <w:tcPr>
            <w:tcW w:type="dxa" w:w="1872"/>
          </w:tcPr>
          <w:p>
            <w:pPr>
              <w:spacing w:before="60" w:after="100" w:line="252" w:lineRule="auto"/>
            </w:pPr>
            <w:r>
              <w:rPr>
                <w:b w:val="0"/>
                <w:sz w:val="20"/>
              </w:rPr>
              <w:t>+0.19%</w:t>
            </w:r>
          </w:p>
        </w:tc>
        <w:tc>
          <w:tcPr>
            <w:tcW w:type="dxa" w:w="1872"/>
          </w:tcPr>
          <w:p>
            <w:pPr>
              <w:spacing w:before="60" w:after="100" w:line="252" w:lineRule="auto"/>
            </w:pPr>
            <w:r>
              <w:rPr>
                <w:b w:val="0"/>
                <w:sz w:val="20"/>
              </w:rPr>
              <w:t>+0.39%</w:t>
            </w:r>
          </w:p>
        </w:tc>
        <w:tc>
          <w:tcPr>
            <w:tcW w:type="dxa" w:w="1872"/>
          </w:tcPr>
          <w:p>
            <w:pPr>
              <w:spacing w:before="60" w:after="100" w:line="252" w:lineRule="auto"/>
            </w:pPr>
            <w:r>
              <w:rPr>
                <w:b w:val="0"/>
                <w:sz w:val="20"/>
              </w:rPr>
              <w:t>+0.73%</w:t>
            </w:r>
          </w:p>
        </w:tc>
      </w:tr>
      <w:tr>
        <w:trPr>
          <w:cantSplit/>
        </w:trPr>
        <w:tc>
          <w:tcPr>
            <w:tcW w:type="dxa" w:w="4032"/>
          </w:tcPr>
          <w:p>
            <w:pPr>
              <w:spacing w:before="60" w:after="100" w:line="252" w:lineRule="auto"/>
            </w:pPr>
            <w:r>
              <w:rPr>
                <w:b w:val="0"/>
                <w:sz w:val="20"/>
              </w:rPr>
              <w:t>55 or above</w:t>
            </w:r>
          </w:p>
        </w:tc>
        <w:tc>
          <w:tcPr>
            <w:tcW w:type="dxa" w:w="864"/>
          </w:tcPr>
          <w:p>
            <w:pPr>
              <w:spacing w:before="60" w:after="100" w:line="252" w:lineRule="auto"/>
            </w:pPr>
            <w:r>
              <w:rPr>
                <w:b w:val="0"/>
                <w:sz w:val="20"/>
              </w:rPr>
              <w:t>698</w:t>
            </w:r>
          </w:p>
        </w:tc>
        <w:tc>
          <w:tcPr>
            <w:tcW w:type="dxa" w:w="1872"/>
          </w:tcPr>
          <w:p>
            <w:pPr>
              <w:spacing w:before="60" w:after="100" w:line="252" w:lineRule="auto"/>
            </w:pPr>
            <w:r>
              <w:rPr>
                <w:b w:val="0"/>
                <w:sz w:val="20"/>
              </w:rPr>
              <w:t>-0.11%</w:t>
            </w:r>
          </w:p>
        </w:tc>
        <w:tc>
          <w:tcPr>
            <w:tcW w:type="dxa" w:w="1872"/>
          </w:tcPr>
          <w:p>
            <w:pPr>
              <w:spacing w:before="60" w:after="100" w:line="252" w:lineRule="auto"/>
            </w:pPr>
            <w:r>
              <w:rPr>
                <w:b w:val="0"/>
                <w:sz w:val="20"/>
              </w:rPr>
              <w:t>-0.08%</w:t>
            </w:r>
          </w:p>
        </w:tc>
        <w:tc>
          <w:tcPr>
            <w:tcW w:type="dxa" w:w="1872"/>
          </w:tcPr>
          <w:p>
            <w:pPr>
              <w:spacing w:before="60" w:after="100" w:line="252" w:lineRule="auto"/>
            </w:pPr>
            <w:r>
              <w:rPr>
                <w:b w:val="0"/>
                <w:sz w:val="20"/>
              </w:rPr>
              <w:t>-0.10%</w:t>
            </w:r>
          </w:p>
        </w:tc>
      </w:tr>
    </w:tbl>
    <w:p>
      <w:r>
        <w:rPr>
          <w:b w:val="0"/>
        </w:rPr>
        <w:t>On these dates the 55 line separates positive average returns from negative ones at all three horizons, which the split across the whole study does not. The order of the bands is the same as before, including the same slight lift in the 55 to 65 band, and the readings above 65 are weaker here than in the full sample. A month-ahead loss followed 33% of the near-high dates below 55, 41% of those at 55 or above, and 56% of those at 80 and above.</w:t>
      </w:r>
    </w:p>
    <w:p>
      <w:r>
        <w:rPr>
          <w:b w:val="0"/>
        </w:rPr>
        <w:t>The contrast on the other side is just as useful. On the 3,097 dates where SPY closed 2% or more below its high, a high reading was not followed by weak returns: the 217 of them at 55 or above averaged +0.25%, +0.28%, +1.59% over the three windows. A high reading there mostly describes a decline that has already happened, which is not what the dial is for.</w:t>
      </w:r>
    </w:p>
    <w:p>
      <w:r>
        <w:rPr>
          <w:b w:val="0"/>
          <w:sz w:val="18"/>
        </w:rPr>
        <w:t>Study: 8 February 2002 to 18 June 2026; 6,129 common observation dates, the full span over which every component can be measured. Returns include SPY dividends, using prices through 18 September 2026. All tables use the same sample and show average returns. The NYSE Net Highs table covers the 6,043 of those dates whose highs-and-lows record is complete enough to read the warning, and its comparison row uses the same dates.</w:t>
      </w:r>
    </w:p>
    <w:p>
      <w:r>
        <w:rPr>
          <w:b w:val="0"/>
          <w:sz w:val="18"/>
        </w:rPr>
        <w:t>Readings before August 2018 are reconstructed: they show what the current rules produce when applied to the full price history rather than what was published at the time. The stored record begins in July 2016, but its own first two years are a start-up period in which components that need years of trailing history could not yet register, so the study reads the reconstruction there instead. From August 2018 the stored record takes over unchanged, and since July 2026 each reading is written on the day it is produced and never revised afterwards. Consecutive dates share return windows, so the date counts exceed the number of independent episodes. A favorable reading still carries risk.</w:t>
      </w:r>
    </w:p>
    <w:sectPr w:rsidR="00FC693F" w:rsidRPr="0006063C" w:rsidSect="00034616">
      <w:footerReference w:type="default" r:id="rId9"/>
      <w:pgSz w:w="12240" w:h="15840"/>
      <w:pgMar w:top="893" w:right="864" w:bottom="864" w:left="864" w:header="72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DENALI  |  Internal  |  21 September 2026</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7"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7"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Denali Risk Dial</dc:title>
  <dc:subject/>
  <dc:creator>Denali</dc:creator>
  <cp:keywords/>
  <dc:description>generated by python-docx</dc:description>
  <cp:lastModifiedBy/>
  <cp:revision>1</cp:revision>
  <dcterms:created xsi:type="dcterms:W3CDTF">2013-12-23T23:15:00Z</dcterms:created>
  <dcterms:modified xsi:type="dcterms:W3CDTF">2013-12-23T23:15:00Z</dcterms:modified>
  <cp:category/>
</cp:coreProperties>
</file>