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Denali Risk Dial</w:t>
      </w:r>
    </w:p>
    <w:p>
      <w:r>
        <w:rPr>
          <w:b w:val="0"/>
        </w:rPr>
        <w:t>The goal of the risk dial is to proactively identify good and bad trading environments, the “easy dollar” versus “hard penny” markets many seasoned traders recognize. It looks beneath index price action for signs of risk that a steady or rising market can hide.</w:t>
      </w:r>
    </w:p>
    <w:p>
      <w:r>
        <w:rPr>
          <w:b w:val="0"/>
          <w:sz w:val="17"/>
        </w:rPr>
        <w:t>The dial combines seven components into one score; higher readings reflect stronger combined warnings. We focus on the next 5, 10 and 21 trading days, one week, two weeks and one month. SPY tracks the S&amp;P 500.</w:t>
      </w:r>
    </w:p>
    <w:tbl>
      <w:tblPr>
        <w:tblW w:type="auto" w:w="0"/>
        <w:tblLayout w:type="fixed"/>
        <w:tblLook w:firstColumn="1" w:firstRow="1" w:lastColumn="0" w:lastRow="0" w:noHBand="0" w:noVBand="1" w:val="04A0"/>
      </w:tblPr>
      <w:tblGrid>
        <w:gridCol w:w="2232"/>
        <w:gridCol w:w="4608"/>
        <w:gridCol w:w="1224"/>
        <w:gridCol w:w="1224"/>
        <w:gridCol w:w="1224"/>
      </w:tblGrid>
      <w:tr>
        <w:trPr>
          <w:cantSplit/>
        </w:trPr>
        <w:tc>
          <w:tcPr>
            <w:tcW w:type="dxa" w:w="2232"/>
            <w:shd w:fill="F1F1F1"/>
          </w:tcPr>
          <w:p>
            <w:pPr>
              <w:spacing w:before="60" w:after="80" w:line="242" w:lineRule="auto"/>
            </w:pPr>
            <w:r>
              <w:rPr>
                <w:b/>
                <w:sz w:val="19"/>
              </w:rPr>
              <w:t>Component</w:t>
            </w:r>
          </w:p>
        </w:tc>
        <w:tc>
          <w:tcPr>
            <w:tcW w:type="dxa" w:w="4608"/>
            <w:shd w:fill="F1F1F1"/>
          </w:tcPr>
          <w:p>
            <w:pPr>
              <w:spacing w:before="60" w:after="80" w:line="242" w:lineRule="auto"/>
            </w:pPr>
            <w:r>
              <w:rPr>
                <w:b/>
                <w:sz w:val="19"/>
              </w:rPr>
              <w:t>Why we watch it</w:t>
            </w:r>
          </w:p>
        </w:tc>
        <w:tc>
          <w:tcPr>
            <w:tcW w:type="dxa" w:w="1224"/>
            <w:shd w:fill="F1F1F1"/>
          </w:tcPr>
          <w:p>
            <w:pPr>
              <w:spacing w:before="60" w:after="80" w:line="242" w:lineRule="auto"/>
            </w:pPr>
            <w:r>
              <w:rPr>
                <w:b/>
                <w:sz w:val="19"/>
              </w:rPr>
              <w:t>Next 5</w:t>
            </w:r>
          </w:p>
        </w:tc>
        <w:tc>
          <w:tcPr>
            <w:tcW w:type="dxa" w:w="1224"/>
            <w:shd w:fill="F1F1F1"/>
          </w:tcPr>
          <w:p>
            <w:pPr>
              <w:spacing w:before="60" w:after="80" w:line="242" w:lineRule="auto"/>
            </w:pPr>
            <w:r>
              <w:rPr>
                <w:b/>
                <w:sz w:val="19"/>
              </w:rPr>
              <w:t>Next 10</w:t>
            </w:r>
          </w:p>
        </w:tc>
        <w:tc>
          <w:tcPr>
            <w:tcW w:type="dxa" w:w="1224"/>
            <w:shd w:fill="F1F1F1"/>
          </w:tcPr>
          <w:p>
            <w:pPr>
              <w:spacing w:before="60" w:after="80" w:line="242" w:lineRule="auto"/>
            </w:pPr>
            <w:r>
              <w:rPr>
                <w:b/>
                <w:sz w:val="19"/>
              </w:rPr>
              <w:t>Next 21</w:t>
            </w:r>
          </w:p>
        </w:tc>
      </w:tr>
      <w:tr>
        <w:trPr>
          <w:cantSplit/>
        </w:trPr>
        <w:tc>
          <w:tcPr>
            <w:tcW w:type="dxa" w:w="2232"/>
          </w:tcPr>
          <w:p>
            <w:pPr>
              <w:spacing w:before="60" w:after="80" w:line="242" w:lineRule="auto"/>
            </w:pPr>
            <w:r>
              <w:rPr>
                <w:b w:val="0"/>
                <w:sz w:val="19"/>
              </w:rPr>
              <w:t>Distribution Dominance</w:t>
            </w:r>
          </w:p>
        </w:tc>
        <w:tc>
          <w:tcPr>
            <w:tcW w:type="dxa" w:w="4608"/>
          </w:tcPr>
          <w:p>
            <w:pPr>
              <w:spacing w:before="60" w:after="80" w:line="242" w:lineRule="auto"/>
            </w:pPr>
            <w:r>
              <w:rPr>
                <w:b w:val="0"/>
                <w:sz w:val="19"/>
              </w:rPr>
              <w:t>Busy sessions closing below the open outnumber those closing above it; demand may be weakening.</w:t>
            </w:r>
          </w:p>
        </w:tc>
        <w:tc>
          <w:tcPr>
            <w:tcW w:type="dxa" w:w="1224"/>
          </w:tcPr>
          <w:p>
            <w:pPr>
              <w:spacing w:before="60" w:after="80" w:line="242" w:lineRule="auto"/>
            </w:pPr>
            <w:r>
              <w:rPr>
                <w:b w:val="0"/>
                <w:sz w:val="19"/>
              </w:rPr>
              <w:t>-0.05%</w:t>
            </w:r>
          </w:p>
        </w:tc>
        <w:tc>
          <w:tcPr>
            <w:tcW w:type="dxa" w:w="1224"/>
          </w:tcPr>
          <w:p>
            <w:pPr>
              <w:spacing w:before="60" w:after="80" w:line="242" w:lineRule="auto"/>
            </w:pPr>
            <w:r>
              <w:rPr>
                <w:b w:val="0"/>
                <w:sz w:val="19"/>
              </w:rPr>
              <w:t>-0.19%</w:t>
            </w:r>
          </w:p>
        </w:tc>
        <w:tc>
          <w:tcPr>
            <w:tcW w:type="dxa" w:w="1224"/>
          </w:tcPr>
          <w:p>
            <w:pPr>
              <w:spacing w:before="60" w:after="80" w:line="242" w:lineRule="auto"/>
            </w:pPr>
            <w:r>
              <w:rPr>
                <w:b w:val="0"/>
                <w:sz w:val="19"/>
              </w:rPr>
              <w:t>-0.38%</w:t>
            </w:r>
          </w:p>
        </w:tc>
      </w:tr>
      <w:tr>
        <w:trPr>
          <w:cantSplit/>
        </w:trPr>
        <w:tc>
          <w:tcPr>
            <w:tcW w:type="dxa" w:w="2232"/>
          </w:tcPr>
          <w:p>
            <w:pPr>
              <w:spacing w:before="60" w:after="80" w:line="242" w:lineRule="auto"/>
            </w:pPr>
            <w:r>
              <w:rPr>
                <w:b w:val="0"/>
                <w:sz w:val="19"/>
              </w:rPr>
              <w:t>Defensive Leadership</w:t>
            </w:r>
          </w:p>
        </w:tc>
        <w:tc>
          <w:tcPr>
            <w:tcW w:type="dxa" w:w="4608"/>
          </w:tcPr>
          <w:p>
            <w:pPr>
              <w:spacing w:before="60" w:after="80" w:line="242" w:lineRule="auto"/>
            </w:pPr>
            <w:r>
              <w:rPr>
                <w:b w:val="0"/>
                <w:sz w:val="19"/>
              </w:rPr>
              <w:t>Defensive businesses, more resilient in a slowdown, lead economically sensitive shares; confidence may be fading.</w:t>
            </w:r>
          </w:p>
        </w:tc>
        <w:tc>
          <w:tcPr>
            <w:tcW w:type="dxa" w:w="1224"/>
          </w:tcPr>
          <w:p>
            <w:pPr>
              <w:spacing w:before="60" w:after="80" w:line="242" w:lineRule="auto"/>
            </w:pPr>
            <w:r>
              <w:rPr>
                <w:b w:val="0"/>
                <w:sz w:val="19"/>
              </w:rPr>
              <w:t>-0.06%</w:t>
            </w:r>
          </w:p>
        </w:tc>
        <w:tc>
          <w:tcPr>
            <w:tcW w:type="dxa" w:w="1224"/>
          </w:tcPr>
          <w:p>
            <w:pPr>
              <w:spacing w:before="60" w:after="80" w:line="242" w:lineRule="auto"/>
            </w:pPr>
            <w:r>
              <w:rPr>
                <w:b w:val="0"/>
                <w:sz w:val="19"/>
              </w:rPr>
              <w:t>-0.02%</w:t>
            </w:r>
          </w:p>
        </w:tc>
        <w:tc>
          <w:tcPr>
            <w:tcW w:type="dxa" w:w="1224"/>
          </w:tcPr>
          <w:p>
            <w:pPr>
              <w:spacing w:before="60" w:after="80" w:line="242" w:lineRule="auto"/>
            </w:pPr>
            <w:r>
              <w:rPr>
                <w:b w:val="0"/>
                <w:sz w:val="19"/>
              </w:rPr>
              <w:t>-0.18%</w:t>
            </w:r>
          </w:p>
        </w:tc>
      </w:tr>
      <w:tr>
        <w:trPr>
          <w:cantSplit/>
        </w:trPr>
        <w:tc>
          <w:tcPr>
            <w:tcW w:type="dxa" w:w="2232"/>
          </w:tcPr>
          <w:p>
            <w:pPr>
              <w:spacing w:before="60" w:after="80" w:line="242" w:lineRule="auto"/>
            </w:pPr>
            <w:r>
              <w:rPr>
                <w:b w:val="0"/>
                <w:sz w:val="19"/>
              </w:rPr>
              <w:t>VIX Range Compression</w:t>
            </w:r>
          </w:p>
        </w:tc>
        <w:tc>
          <w:tcPr>
            <w:tcW w:type="dxa" w:w="4608"/>
          </w:tcPr>
          <w:p>
            <w:pPr>
              <w:spacing w:before="60" w:after="80" w:line="242" w:lineRule="auto"/>
            </w:pPr>
            <w:r>
              <w:rPr>
                <w:b w:val="0"/>
                <w:sz w:val="19"/>
              </w:rPr>
              <w:t>VIX (expected S&amp;P 500 volatility) trades in a tight range above 13 and its recent average; unease may be building.</w:t>
            </w:r>
          </w:p>
        </w:tc>
        <w:tc>
          <w:tcPr>
            <w:tcW w:type="dxa" w:w="1224"/>
          </w:tcPr>
          <w:p>
            <w:pPr>
              <w:spacing w:before="60" w:after="80" w:line="242" w:lineRule="auto"/>
            </w:pPr>
            <w:r>
              <w:rPr>
                <w:b w:val="0"/>
                <w:sz w:val="19"/>
              </w:rPr>
              <w:t>+0.12%</w:t>
            </w:r>
          </w:p>
        </w:tc>
        <w:tc>
          <w:tcPr>
            <w:tcW w:type="dxa" w:w="1224"/>
          </w:tcPr>
          <w:p>
            <w:pPr>
              <w:spacing w:before="60" w:after="80" w:line="242" w:lineRule="auto"/>
            </w:pPr>
            <w:r>
              <w:rPr>
                <w:b w:val="0"/>
                <w:sz w:val="19"/>
              </w:rPr>
              <w:t>+0.12%</w:t>
            </w:r>
          </w:p>
        </w:tc>
        <w:tc>
          <w:tcPr>
            <w:tcW w:type="dxa" w:w="1224"/>
          </w:tcPr>
          <w:p>
            <w:pPr>
              <w:spacing w:before="60" w:after="80" w:line="242" w:lineRule="auto"/>
            </w:pPr>
            <w:r>
              <w:rPr>
                <w:b w:val="0"/>
                <w:sz w:val="19"/>
              </w:rPr>
              <w:t>+0.90%</w:t>
            </w:r>
          </w:p>
        </w:tc>
      </w:tr>
      <w:tr>
        <w:trPr>
          <w:cantSplit/>
        </w:trPr>
        <w:tc>
          <w:tcPr>
            <w:tcW w:type="dxa" w:w="2232"/>
          </w:tcPr>
          <w:p>
            <w:pPr>
              <w:spacing w:before="60" w:after="80" w:line="242" w:lineRule="auto"/>
            </w:pPr>
            <w:r>
              <w:rPr>
                <w:b w:val="0"/>
                <w:sz w:val="19"/>
              </w:rPr>
              <w:t>Low Absorption Ratio</w:t>
            </w:r>
          </w:p>
        </w:tc>
        <w:tc>
          <w:tcPr>
            <w:tcW w:type="dxa" w:w="4608"/>
          </w:tcPr>
          <w:p>
            <w:pPr>
              <w:spacing w:before="60" w:after="80" w:line="242" w:lineRule="auto"/>
            </w:pPr>
            <w:r>
              <w:rPr>
                <w:b w:val="0"/>
                <w:sz w:val="19"/>
              </w:rPr>
              <w:t>Sectors move separately near highs; a common shock could make them fall together.</w:t>
            </w:r>
          </w:p>
        </w:tc>
        <w:tc>
          <w:tcPr>
            <w:tcW w:type="dxa" w:w="1224"/>
          </w:tcPr>
          <w:p>
            <w:pPr>
              <w:spacing w:before="60" w:after="80" w:line="242" w:lineRule="auto"/>
            </w:pPr>
            <w:r>
              <w:rPr>
                <w:b w:val="0"/>
                <w:sz w:val="19"/>
              </w:rPr>
              <w:t>+0.11%</w:t>
            </w:r>
          </w:p>
        </w:tc>
        <w:tc>
          <w:tcPr>
            <w:tcW w:type="dxa" w:w="1224"/>
          </w:tcPr>
          <w:p>
            <w:pPr>
              <w:spacing w:before="60" w:after="80" w:line="242" w:lineRule="auto"/>
            </w:pPr>
            <w:r>
              <w:rPr>
                <w:b w:val="0"/>
                <w:sz w:val="19"/>
              </w:rPr>
              <w:t>+0.21%</w:t>
            </w:r>
          </w:p>
        </w:tc>
        <w:tc>
          <w:tcPr>
            <w:tcW w:type="dxa" w:w="1224"/>
          </w:tcPr>
          <w:p>
            <w:pPr>
              <w:spacing w:before="60" w:after="80" w:line="242" w:lineRule="auto"/>
            </w:pPr>
            <w:r>
              <w:rPr>
                <w:b w:val="0"/>
                <w:sz w:val="19"/>
              </w:rPr>
              <w:t>+0.48%</w:t>
            </w:r>
          </w:p>
        </w:tc>
      </w:tr>
      <w:tr>
        <w:trPr>
          <w:cantSplit/>
        </w:trPr>
        <w:tc>
          <w:tcPr>
            <w:tcW w:type="dxa" w:w="2232"/>
          </w:tcPr>
          <w:p>
            <w:pPr>
              <w:spacing w:before="60" w:after="80" w:line="242" w:lineRule="auto"/>
            </w:pPr>
            <w:r>
              <w:rPr>
                <w:b w:val="0"/>
                <w:sz w:val="19"/>
              </w:rPr>
              <w:t>Seasonal Rank Divergence</w:t>
            </w:r>
          </w:p>
        </w:tc>
        <w:tc>
          <w:tcPr>
            <w:tcW w:type="dxa" w:w="4608"/>
          </w:tcPr>
          <w:p>
            <w:pPr>
              <w:spacing w:before="60" w:after="80" w:line="242" w:lineRule="auto"/>
            </w:pPr>
            <w:r>
              <w:rPr>
                <w:b w:val="0"/>
                <w:sz w:val="19"/>
              </w:rPr>
              <w:t>The calendar favors defensive shares; economically sensitive stocks have less seasonal support.</w:t>
            </w:r>
          </w:p>
        </w:tc>
        <w:tc>
          <w:tcPr>
            <w:tcW w:type="dxa" w:w="1224"/>
          </w:tcPr>
          <w:p>
            <w:pPr>
              <w:spacing w:before="60" w:after="80" w:line="242" w:lineRule="auto"/>
            </w:pPr>
            <w:r>
              <w:rPr>
                <w:b w:val="0"/>
                <w:sz w:val="19"/>
              </w:rPr>
              <w:t>-0.14%</w:t>
            </w:r>
          </w:p>
        </w:tc>
        <w:tc>
          <w:tcPr>
            <w:tcW w:type="dxa" w:w="1224"/>
          </w:tcPr>
          <w:p>
            <w:pPr>
              <w:spacing w:before="60" w:after="80" w:line="242" w:lineRule="auto"/>
            </w:pPr>
            <w:r>
              <w:rPr>
                <w:b w:val="0"/>
                <w:sz w:val="19"/>
              </w:rPr>
              <w:t>-0.16%</w:t>
            </w:r>
          </w:p>
        </w:tc>
        <w:tc>
          <w:tcPr>
            <w:tcW w:type="dxa" w:w="1224"/>
          </w:tcPr>
          <w:p>
            <w:pPr>
              <w:spacing w:before="60" w:after="80" w:line="242" w:lineRule="auto"/>
            </w:pPr>
            <w:r>
              <w:rPr>
                <w:b w:val="0"/>
                <w:sz w:val="19"/>
              </w:rPr>
              <w:t>-0.02%</w:t>
            </w:r>
          </w:p>
        </w:tc>
      </w:tr>
      <w:tr>
        <w:trPr>
          <w:cantSplit/>
        </w:trPr>
        <w:tc>
          <w:tcPr>
            <w:tcW w:type="dxa" w:w="2232"/>
          </w:tcPr>
          <w:p>
            <w:pPr>
              <w:spacing w:before="60" w:after="80" w:line="242" w:lineRule="auto"/>
            </w:pPr>
            <w:r>
              <w:rPr>
                <w:b w:val="0"/>
                <w:sz w:val="19"/>
              </w:rPr>
              <w:t>Dispersion</w:t>
            </w:r>
          </w:p>
        </w:tc>
        <w:tc>
          <w:tcPr>
            <w:tcW w:type="dxa" w:w="4608"/>
          </w:tcPr>
          <w:p>
            <w:pPr>
              <w:spacing w:before="60" w:after="80" w:line="242" w:lineRule="auto"/>
            </w:pPr>
            <w:r>
              <w:rPr>
                <w:b w:val="0"/>
                <w:sz w:val="19"/>
              </w:rPr>
              <w:t>Large individual-stock moves cancel out in a calm index; that balance can break.</w:t>
            </w:r>
          </w:p>
        </w:tc>
        <w:tc>
          <w:tcPr>
            <w:tcW w:type="dxa" w:w="1224"/>
          </w:tcPr>
          <w:p>
            <w:pPr>
              <w:spacing w:before="60" w:after="80" w:line="242" w:lineRule="auto"/>
            </w:pPr>
            <w:r>
              <w:rPr>
                <w:b w:val="0"/>
                <w:sz w:val="19"/>
              </w:rPr>
              <w:t>-0.41%</w:t>
            </w:r>
          </w:p>
        </w:tc>
        <w:tc>
          <w:tcPr>
            <w:tcW w:type="dxa" w:w="1224"/>
          </w:tcPr>
          <w:p>
            <w:pPr>
              <w:spacing w:before="60" w:after="80" w:line="242" w:lineRule="auto"/>
            </w:pPr>
            <w:r>
              <w:rPr>
                <w:b w:val="0"/>
                <w:sz w:val="19"/>
              </w:rPr>
              <w:t>-0.13%</w:t>
            </w:r>
          </w:p>
        </w:tc>
        <w:tc>
          <w:tcPr>
            <w:tcW w:type="dxa" w:w="1224"/>
          </w:tcPr>
          <w:p>
            <w:pPr>
              <w:spacing w:before="60" w:after="80" w:line="242" w:lineRule="auto"/>
            </w:pPr>
            <w:r>
              <w:rPr>
                <w:b w:val="0"/>
                <w:sz w:val="19"/>
              </w:rPr>
              <w:t>-0.16%</w:t>
            </w:r>
          </w:p>
        </w:tc>
      </w:tr>
      <w:tr>
        <w:trPr>
          <w:cantSplit/>
        </w:trPr>
        <w:tc>
          <w:tcPr>
            <w:tcW w:type="dxa" w:w="2232"/>
          </w:tcPr>
          <w:p>
            <w:pPr>
              <w:spacing w:before="60" w:after="80" w:line="242" w:lineRule="auto"/>
            </w:pPr>
            <w:r>
              <w:rPr>
                <w:b w:val="0"/>
                <w:sz w:val="19"/>
              </w:rPr>
              <w:t>NYSE Net Highs</w:t>
            </w:r>
          </w:p>
        </w:tc>
        <w:tc>
          <w:tcPr>
            <w:tcW w:type="dxa" w:w="4608"/>
          </w:tcPr>
          <w:p>
            <w:pPr>
              <w:spacing w:before="60" w:after="80" w:line="242" w:lineRule="auto"/>
            </w:pPr>
            <w:r>
              <w:rPr>
                <w:b w:val="0"/>
                <w:sz w:val="19"/>
              </w:rPr>
              <w:t>NYSE new lows exceed new highs on a five-session average while SPY is near its high; broad participation is weak.</w:t>
            </w:r>
          </w:p>
        </w:tc>
        <w:tc>
          <w:tcPr>
            <w:tcW w:type="dxa" w:w="1224"/>
          </w:tcPr>
          <w:p>
            <w:pPr>
              <w:spacing w:before="60" w:after="80" w:line="242" w:lineRule="auto"/>
            </w:pPr>
            <w:r>
              <w:rPr>
                <w:b w:val="0"/>
                <w:sz w:val="19"/>
              </w:rPr>
              <w:t>-0.43%</w:t>
            </w:r>
          </w:p>
        </w:tc>
        <w:tc>
          <w:tcPr>
            <w:tcW w:type="dxa" w:w="1224"/>
          </w:tcPr>
          <w:p>
            <w:pPr>
              <w:spacing w:before="60" w:after="80" w:line="242" w:lineRule="auto"/>
            </w:pPr>
            <w:r>
              <w:rPr>
                <w:b w:val="0"/>
                <w:sz w:val="19"/>
              </w:rPr>
              <w:t>-0.69%</w:t>
            </w:r>
          </w:p>
        </w:tc>
        <w:tc>
          <w:tcPr>
            <w:tcW w:type="dxa" w:w="1224"/>
          </w:tcPr>
          <w:p>
            <w:pPr>
              <w:spacing w:before="60" w:after="80" w:line="242" w:lineRule="auto"/>
            </w:pPr>
            <w:r>
              <w:rPr>
                <w:b w:val="0"/>
                <w:sz w:val="19"/>
              </w:rPr>
              <w:t>-0.84%</w:t>
            </w:r>
          </w:p>
        </w:tc>
      </w:tr>
      <w:tr>
        <w:trPr>
          <w:cantSplit/>
        </w:trPr>
        <w:tc>
          <w:tcPr>
            <w:tcW w:type="dxa" w:w="2232"/>
          </w:tcPr>
          <w:p>
            <w:pPr>
              <w:spacing w:before="60" w:after="80" w:line="242" w:lineRule="auto"/>
            </w:pPr>
            <w:r>
              <w:rPr>
                <w:b w:val="0"/>
                <w:sz w:val="19"/>
              </w:rPr>
              <w:t>All dates</w:t>
            </w:r>
          </w:p>
        </w:tc>
        <w:tc>
          <w:tcPr>
            <w:tcW w:type="dxa" w:w="4608"/>
          </w:tcPr>
          <w:p>
            <w:pPr>
              <w:spacing w:before="60" w:after="80" w:line="242" w:lineRule="auto"/>
            </w:pPr>
            <w:r>
              <w:rPr>
                <w:b w:val="0"/>
                <w:sz w:val="19"/>
              </w:rPr>
              <w:t>Comparison for the warning rows</w:t>
            </w:r>
          </w:p>
        </w:tc>
        <w:tc>
          <w:tcPr>
            <w:tcW w:type="dxa" w:w="1224"/>
          </w:tcPr>
          <w:p>
            <w:pPr>
              <w:spacing w:before="60" w:after="80" w:line="242" w:lineRule="auto"/>
            </w:pPr>
            <w:r>
              <w:rPr>
                <w:b w:val="0"/>
                <w:sz w:val="19"/>
              </w:rPr>
              <w:t>+0.22%</w:t>
            </w:r>
          </w:p>
        </w:tc>
        <w:tc>
          <w:tcPr>
            <w:tcW w:type="dxa" w:w="1224"/>
          </w:tcPr>
          <w:p>
            <w:pPr>
              <w:spacing w:before="60" w:after="80" w:line="242" w:lineRule="auto"/>
            </w:pPr>
            <w:r>
              <w:rPr>
                <w:b w:val="0"/>
                <w:sz w:val="19"/>
              </w:rPr>
              <w:t>+0.44%</w:t>
            </w:r>
          </w:p>
        </w:tc>
        <w:tc>
          <w:tcPr>
            <w:tcW w:type="dxa" w:w="1224"/>
          </w:tcPr>
          <w:p>
            <w:pPr>
              <w:spacing w:before="60" w:after="80" w:line="242" w:lineRule="auto"/>
            </w:pPr>
            <w:r>
              <w:rPr>
                <w:b w:val="0"/>
                <w:sz w:val="19"/>
              </w:rPr>
              <w:t>+0.91%</w:t>
            </w:r>
          </w:p>
        </w:tc>
      </w:tr>
    </w:tbl>
    <w:p>
      <w:r>
        <w:rPr>
          <w:b w:val="0"/>
          <w:sz w:val="17"/>
        </w:rPr>
        <w:t>NYSE net highs are new 52-week highs minus new 52-week lows. The warning reads a five-session exponential average of that total, so a single quiet day does not switch it on or off. It is strongest closest to SPY’s high and clears when the average returns to zero.</w:t>
      </w:r>
    </w:p>
    <w:tbl>
      <w:tblPr>
        <w:tblW w:type="auto" w:w="0"/>
        <w:tblLayout w:type="fixed"/>
        <w:tblLook w:firstColumn="1" w:firstRow="1" w:lastColumn="0" w:lastRow="0" w:noHBand="0" w:noVBand="1" w:val="04A0"/>
      </w:tblPr>
      <w:tblGrid>
        <w:gridCol w:w="4032"/>
        <w:gridCol w:w="864"/>
        <w:gridCol w:w="1872"/>
        <w:gridCol w:w="1872"/>
        <w:gridCol w:w="1872"/>
      </w:tblGrid>
      <w:tr>
        <w:trPr>
          <w:cantSplit/>
        </w:trPr>
        <w:tc>
          <w:tcPr>
            <w:tcW w:type="dxa" w:w="4032"/>
            <w:shd w:fill="F1F1F1"/>
          </w:tcPr>
          <w:p>
            <w:pPr>
              <w:spacing w:before="60" w:after="80" w:line="242" w:lineRule="auto"/>
            </w:pPr>
            <w:r>
              <w:rPr>
                <w:b/>
                <w:sz w:val="19"/>
              </w:rPr>
              <w:t>Main dial</w:t>
            </w:r>
          </w:p>
        </w:tc>
        <w:tc>
          <w:tcPr>
            <w:tcW w:type="dxa" w:w="864"/>
            <w:shd w:fill="F1F1F1"/>
          </w:tcPr>
          <w:p>
            <w:pPr>
              <w:spacing w:before="60" w:after="80" w:line="242" w:lineRule="auto"/>
            </w:pPr>
            <w:r>
              <w:rPr>
                <w:b/>
                <w:sz w:val="19"/>
              </w:rPr>
              <w:t>Dates</w:t>
            </w:r>
          </w:p>
        </w:tc>
        <w:tc>
          <w:tcPr>
            <w:tcW w:type="dxa" w:w="1872"/>
            <w:shd w:fill="F1F1F1"/>
          </w:tcPr>
          <w:p>
            <w:pPr>
              <w:spacing w:before="60" w:after="80" w:line="242" w:lineRule="auto"/>
            </w:pPr>
            <w:r>
              <w:rPr>
                <w:b/>
                <w:sz w:val="19"/>
              </w:rPr>
              <w:t>Next 5</w:t>
            </w:r>
          </w:p>
        </w:tc>
        <w:tc>
          <w:tcPr>
            <w:tcW w:type="dxa" w:w="1872"/>
            <w:shd w:fill="F1F1F1"/>
          </w:tcPr>
          <w:p>
            <w:pPr>
              <w:spacing w:before="60" w:after="80" w:line="242" w:lineRule="auto"/>
            </w:pPr>
            <w:r>
              <w:rPr>
                <w:b/>
                <w:sz w:val="19"/>
              </w:rPr>
              <w:t>Next 10</w:t>
            </w:r>
          </w:p>
        </w:tc>
        <w:tc>
          <w:tcPr>
            <w:tcW w:type="dxa" w:w="1872"/>
            <w:shd w:fill="F1F1F1"/>
          </w:tcPr>
          <w:p>
            <w:pPr>
              <w:spacing w:before="60" w:after="80" w:line="242" w:lineRule="auto"/>
            </w:pPr>
            <w:r>
              <w:rPr>
                <w:b/>
                <w:sz w:val="19"/>
              </w:rPr>
              <w:t>Next 21</w:t>
            </w:r>
          </w:p>
        </w:tc>
      </w:tr>
      <w:tr>
        <w:trPr>
          <w:cantSplit/>
        </w:trPr>
        <w:tc>
          <w:tcPr>
            <w:tcW w:type="dxa" w:w="4032"/>
          </w:tcPr>
          <w:p>
            <w:pPr>
              <w:spacing w:before="60" w:after="80" w:line="242" w:lineRule="auto"/>
            </w:pPr>
            <w:r>
              <w:rPr>
                <w:b w:val="0"/>
                <w:sz w:val="19"/>
              </w:rPr>
              <w:t>0–&lt;20</w:t>
            </w:r>
          </w:p>
        </w:tc>
        <w:tc>
          <w:tcPr>
            <w:tcW w:type="dxa" w:w="864"/>
          </w:tcPr>
          <w:p>
            <w:pPr>
              <w:spacing w:before="60" w:after="80" w:line="242" w:lineRule="auto"/>
            </w:pPr>
            <w:r>
              <w:rPr>
                <w:b w:val="0"/>
                <w:sz w:val="19"/>
              </w:rPr>
              <w:t>2,594</w:t>
            </w:r>
          </w:p>
        </w:tc>
        <w:tc>
          <w:tcPr>
            <w:tcW w:type="dxa" w:w="1872"/>
          </w:tcPr>
          <w:p>
            <w:pPr>
              <w:spacing w:before="60" w:after="80" w:line="242" w:lineRule="auto"/>
            </w:pPr>
            <w:r>
              <w:rPr>
                <w:b w:val="0"/>
                <w:sz w:val="19"/>
              </w:rPr>
              <w:t>+0.31%</w:t>
            </w:r>
          </w:p>
        </w:tc>
        <w:tc>
          <w:tcPr>
            <w:tcW w:type="dxa" w:w="1872"/>
          </w:tcPr>
          <w:p>
            <w:pPr>
              <w:spacing w:before="60" w:after="80" w:line="242" w:lineRule="auto"/>
            </w:pPr>
            <w:r>
              <w:rPr>
                <w:b w:val="0"/>
                <w:sz w:val="19"/>
              </w:rPr>
              <w:t>+0.66%</w:t>
            </w:r>
          </w:p>
        </w:tc>
        <w:tc>
          <w:tcPr>
            <w:tcW w:type="dxa" w:w="1872"/>
          </w:tcPr>
          <w:p>
            <w:pPr>
              <w:spacing w:before="60" w:after="80" w:line="242" w:lineRule="auto"/>
            </w:pPr>
            <w:r>
              <w:rPr>
                <w:b w:val="0"/>
                <w:sz w:val="19"/>
              </w:rPr>
              <w:t>+1.33%</w:t>
            </w:r>
          </w:p>
        </w:tc>
      </w:tr>
      <w:tr>
        <w:trPr>
          <w:cantSplit/>
        </w:trPr>
        <w:tc>
          <w:tcPr>
            <w:tcW w:type="dxa" w:w="4032"/>
          </w:tcPr>
          <w:p>
            <w:pPr>
              <w:spacing w:before="60" w:after="80" w:line="242" w:lineRule="auto"/>
            </w:pPr>
            <w:r>
              <w:rPr>
                <w:b w:val="0"/>
                <w:sz w:val="19"/>
              </w:rPr>
              <w:t>20–&lt;40</w:t>
            </w:r>
          </w:p>
        </w:tc>
        <w:tc>
          <w:tcPr>
            <w:tcW w:type="dxa" w:w="864"/>
          </w:tcPr>
          <w:p>
            <w:pPr>
              <w:spacing w:before="60" w:after="80" w:line="242" w:lineRule="auto"/>
            </w:pPr>
            <w:r>
              <w:rPr>
                <w:b w:val="0"/>
                <w:sz w:val="19"/>
              </w:rPr>
              <w:t>1,533</w:t>
            </w:r>
          </w:p>
        </w:tc>
        <w:tc>
          <w:tcPr>
            <w:tcW w:type="dxa" w:w="1872"/>
          </w:tcPr>
          <w:p>
            <w:pPr>
              <w:spacing w:before="60" w:after="80" w:line="242" w:lineRule="auto"/>
            </w:pPr>
            <w:r>
              <w:rPr>
                <w:b w:val="0"/>
                <w:sz w:val="19"/>
              </w:rPr>
              <w:t>+0.29%</w:t>
            </w:r>
          </w:p>
        </w:tc>
        <w:tc>
          <w:tcPr>
            <w:tcW w:type="dxa" w:w="1872"/>
          </w:tcPr>
          <w:p>
            <w:pPr>
              <w:spacing w:before="60" w:after="80" w:line="242" w:lineRule="auto"/>
            </w:pPr>
            <w:r>
              <w:rPr>
                <w:b w:val="0"/>
                <w:sz w:val="19"/>
              </w:rPr>
              <w:t>+0.45%</w:t>
            </w:r>
          </w:p>
        </w:tc>
        <w:tc>
          <w:tcPr>
            <w:tcW w:type="dxa" w:w="1872"/>
          </w:tcPr>
          <w:p>
            <w:pPr>
              <w:spacing w:before="60" w:after="80" w:line="242" w:lineRule="auto"/>
            </w:pPr>
            <w:r>
              <w:rPr>
                <w:b w:val="0"/>
                <w:sz w:val="19"/>
              </w:rPr>
              <w:t>+0.80%</w:t>
            </w:r>
          </w:p>
        </w:tc>
      </w:tr>
      <w:tr>
        <w:trPr>
          <w:cantSplit/>
        </w:trPr>
        <w:tc>
          <w:tcPr>
            <w:tcW w:type="dxa" w:w="4032"/>
          </w:tcPr>
          <w:p>
            <w:pPr>
              <w:spacing w:before="60" w:after="80" w:line="242" w:lineRule="auto"/>
            </w:pPr>
            <w:r>
              <w:rPr>
                <w:b w:val="0"/>
                <w:sz w:val="19"/>
              </w:rPr>
              <w:t>40–&lt;55</w:t>
            </w:r>
          </w:p>
        </w:tc>
        <w:tc>
          <w:tcPr>
            <w:tcW w:type="dxa" w:w="864"/>
          </w:tcPr>
          <w:p>
            <w:pPr>
              <w:spacing w:before="60" w:after="80" w:line="242" w:lineRule="auto"/>
            </w:pPr>
            <w:r>
              <w:rPr>
                <w:b w:val="0"/>
                <w:sz w:val="19"/>
              </w:rPr>
              <w:t>1,087</w:t>
            </w:r>
          </w:p>
        </w:tc>
        <w:tc>
          <w:tcPr>
            <w:tcW w:type="dxa" w:w="1872"/>
          </w:tcPr>
          <w:p>
            <w:pPr>
              <w:spacing w:before="60" w:after="80" w:line="242" w:lineRule="auto"/>
            </w:pPr>
            <w:r>
              <w:rPr>
                <w:b w:val="0"/>
                <w:sz w:val="19"/>
              </w:rPr>
              <w:t>+0.10%</w:t>
            </w:r>
          </w:p>
        </w:tc>
        <w:tc>
          <w:tcPr>
            <w:tcW w:type="dxa" w:w="1872"/>
          </w:tcPr>
          <w:p>
            <w:pPr>
              <w:spacing w:before="60" w:after="80" w:line="242" w:lineRule="auto"/>
            </w:pPr>
            <w:r>
              <w:rPr>
                <w:b w:val="0"/>
                <w:sz w:val="19"/>
              </w:rPr>
              <w:t>+0.25%</w:t>
            </w:r>
          </w:p>
        </w:tc>
        <w:tc>
          <w:tcPr>
            <w:tcW w:type="dxa" w:w="1872"/>
          </w:tcPr>
          <w:p>
            <w:pPr>
              <w:spacing w:before="60" w:after="80" w:line="242" w:lineRule="auto"/>
            </w:pPr>
            <w:r>
              <w:rPr>
                <w:b w:val="0"/>
                <w:sz w:val="19"/>
              </w:rPr>
              <w:t>+0.59%</w:t>
            </w:r>
          </w:p>
        </w:tc>
      </w:tr>
      <w:tr>
        <w:trPr>
          <w:cantSplit/>
        </w:trPr>
        <w:tc>
          <w:tcPr>
            <w:tcW w:type="dxa" w:w="4032"/>
          </w:tcPr>
          <w:p>
            <w:pPr>
              <w:spacing w:before="60" w:after="80" w:line="242" w:lineRule="auto"/>
            </w:pPr>
            <w:r>
              <w:rPr>
                <w:b w:val="0"/>
                <w:sz w:val="19"/>
              </w:rPr>
              <w:t>55–&lt;65</w:t>
            </w:r>
          </w:p>
        </w:tc>
        <w:tc>
          <w:tcPr>
            <w:tcW w:type="dxa" w:w="864"/>
          </w:tcPr>
          <w:p>
            <w:pPr>
              <w:spacing w:before="60" w:after="80" w:line="242" w:lineRule="auto"/>
            </w:pPr>
            <w:r>
              <w:rPr>
                <w:b w:val="0"/>
                <w:sz w:val="19"/>
              </w:rPr>
              <w:t>448</w:t>
            </w:r>
          </w:p>
        </w:tc>
        <w:tc>
          <w:tcPr>
            <w:tcW w:type="dxa" w:w="1872"/>
          </w:tcPr>
          <w:p>
            <w:pPr>
              <w:spacing w:before="60" w:after="80" w:line="242" w:lineRule="auto"/>
            </w:pPr>
            <w:r>
              <w:rPr>
                <w:b w:val="0"/>
                <w:sz w:val="19"/>
              </w:rPr>
              <w:t>+0.13%</w:t>
            </w:r>
          </w:p>
        </w:tc>
        <w:tc>
          <w:tcPr>
            <w:tcW w:type="dxa" w:w="1872"/>
          </w:tcPr>
          <w:p>
            <w:pPr>
              <w:spacing w:before="60" w:after="80" w:line="242" w:lineRule="auto"/>
            </w:pPr>
            <w:r>
              <w:rPr>
                <w:b w:val="0"/>
                <w:sz w:val="19"/>
              </w:rPr>
              <w:t>+0.31%</w:t>
            </w:r>
          </w:p>
        </w:tc>
        <w:tc>
          <w:tcPr>
            <w:tcW w:type="dxa" w:w="1872"/>
          </w:tcPr>
          <w:p>
            <w:pPr>
              <w:spacing w:before="60" w:after="80" w:line="242" w:lineRule="auto"/>
            </w:pPr>
            <w:r>
              <w:rPr>
                <w:b w:val="0"/>
                <w:sz w:val="19"/>
              </w:rPr>
              <w:t>+0.86%</w:t>
            </w:r>
          </w:p>
        </w:tc>
      </w:tr>
      <w:tr>
        <w:trPr>
          <w:cantSplit/>
        </w:trPr>
        <w:tc>
          <w:tcPr>
            <w:tcW w:type="dxa" w:w="4032"/>
          </w:tcPr>
          <w:p>
            <w:pPr>
              <w:spacing w:before="60" w:after="80" w:line="242" w:lineRule="auto"/>
            </w:pPr>
            <w:r>
              <w:rPr>
                <w:b w:val="0"/>
                <w:sz w:val="19"/>
              </w:rPr>
              <w:t>65–&lt;80</w:t>
            </w:r>
          </w:p>
        </w:tc>
        <w:tc>
          <w:tcPr>
            <w:tcW w:type="dxa" w:w="864"/>
          </w:tcPr>
          <w:p>
            <w:pPr>
              <w:spacing w:before="60" w:after="80" w:line="242" w:lineRule="auto"/>
            </w:pPr>
            <w:r>
              <w:rPr>
                <w:b w:val="0"/>
                <w:sz w:val="19"/>
              </w:rPr>
              <w:t>318</w:t>
            </w:r>
          </w:p>
        </w:tc>
        <w:tc>
          <w:tcPr>
            <w:tcW w:type="dxa" w:w="1872"/>
          </w:tcPr>
          <w:p>
            <w:pPr>
              <w:spacing w:before="60" w:after="80" w:line="242" w:lineRule="auto"/>
            </w:pPr>
            <w:r>
              <w:rPr>
                <w:b w:val="0"/>
                <w:sz w:val="19"/>
              </w:rPr>
              <w:t>-0.17%</w:t>
            </w:r>
          </w:p>
        </w:tc>
        <w:tc>
          <w:tcPr>
            <w:tcW w:type="dxa" w:w="1872"/>
          </w:tcPr>
          <w:p>
            <w:pPr>
              <w:spacing w:before="60" w:after="80" w:line="242" w:lineRule="auto"/>
            </w:pPr>
            <w:r>
              <w:rPr>
                <w:b w:val="0"/>
                <w:sz w:val="19"/>
              </w:rPr>
              <w:t>-0.23%</w:t>
            </w:r>
          </w:p>
        </w:tc>
        <w:tc>
          <w:tcPr>
            <w:tcW w:type="dxa" w:w="1872"/>
          </w:tcPr>
          <w:p>
            <w:pPr>
              <w:spacing w:before="60" w:after="80" w:line="242" w:lineRule="auto"/>
            </w:pPr>
            <w:r>
              <w:rPr>
                <w:b w:val="0"/>
                <w:sz w:val="19"/>
              </w:rPr>
              <w:t>-0.19%</w:t>
            </w:r>
          </w:p>
        </w:tc>
      </w:tr>
      <w:tr>
        <w:trPr>
          <w:cantSplit/>
        </w:trPr>
        <w:tc>
          <w:tcPr>
            <w:tcW w:type="dxa" w:w="4032"/>
          </w:tcPr>
          <w:p>
            <w:pPr>
              <w:spacing w:before="60" w:after="80" w:line="242" w:lineRule="auto"/>
            </w:pPr>
            <w:r>
              <w:rPr>
                <w:b w:val="0"/>
                <w:sz w:val="19"/>
              </w:rPr>
              <w:t>80+</w:t>
            </w:r>
          </w:p>
        </w:tc>
        <w:tc>
          <w:tcPr>
            <w:tcW w:type="dxa" w:w="864"/>
          </w:tcPr>
          <w:p>
            <w:pPr>
              <w:spacing w:before="60" w:after="80" w:line="242" w:lineRule="auto"/>
            </w:pPr>
            <w:r>
              <w:rPr>
                <w:b w:val="0"/>
                <w:sz w:val="19"/>
              </w:rPr>
              <w:t>149</w:t>
            </w:r>
          </w:p>
        </w:tc>
        <w:tc>
          <w:tcPr>
            <w:tcW w:type="dxa" w:w="1872"/>
          </w:tcPr>
          <w:p>
            <w:pPr>
              <w:spacing w:before="60" w:after="80" w:line="242" w:lineRule="auto"/>
            </w:pPr>
            <w:r>
              <w:rPr>
                <w:b w:val="0"/>
                <w:sz w:val="19"/>
              </w:rPr>
              <w:t>-0.18%</w:t>
            </w:r>
          </w:p>
        </w:tc>
        <w:tc>
          <w:tcPr>
            <w:tcW w:type="dxa" w:w="1872"/>
          </w:tcPr>
          <w:p>
            <w:pPr>
              <w:spacing w:before="60" w:after="80" w:line="242" w:lineRule="auto"/>
            </w:pPr>
            <w:r>
              <w:rPr>
                <w:b w:val="0"/>
                <w:sz w:val="19"/>
              </w:rPr>
              <w:t>-0.38%</w:t>
            </w:r>
          </w:p>
        </w:tc>
        <w:tc>
          <w:tcPr>
            <w:tcW w:type="dxa" w:w="1872"/>
          </w:tcPr>
          <w:p>
            <w:pPr>
              <w:spacing w:before="60" w:after="80" w:line="242" w:lineRule="auto"/>
            </w:pPr>
            <w:r>
              <w:rPr>
                <w:b w:val="0"/>
                <w:sz w:val="19"/>
              </w:rPr>
              <w:t>-0.32%</w:t>
            </w:r>
          </w:p>
        </w:tc>
      </w:tr>
      <w:tr>
        <w:trPr>
          <w:cantSplit/>
        </w:trPr>
        <w:tc>
          <w:tcPr>
            <w:tcW w:type="dxa" w:w="4032"/>
          </w:tcPr>
          <w:p>
            <w:pPr>
              <w:spacing w:before="60" w:after="80" w:line="242" w:lineRule="auto"/>
            </w:pPr>
            <w:r>
              <w:rPr>
                <w:b w:val="0"/>
                <w:sz w:val="19"/>
              </w:rPr>
              <w:t>All dates</w:t>
            </w:r>
          </w:p>
        </w:tc>
        <w:tc>
          <w:tcPr>
            <w:tcW w:type="dxa" w:w="864"/>
          </w:tcPr>
          <w:p>
            <w:pPr>
              <w:spacing w:before="60" w:after="80" w:line="242" w:lineRule="auto"/>
            </w:pPr>
            <w:r>
              <w:rPr>
                <w:b w:val="0"/>
                <w:sz w:val="19"/>
              </w:rPr>
              <w:t>6,129</w:t>
            </w:r>
          </w:p>
        </w:tc>
        <w:tc>
          <w:tcPr>
            <w:tcW w:type="dxa" w:w="1872"/>
          </w:tcPr>
          <w:p>
            <w:pPr>
              <w:spacing w:before="60" w:after="80" w:line="242" w:lineRule="auto"/>
            </w:pPr>
            <w:r>
              <w:rPr>
                <w:b w:val="0"/>
                <w:sz w:val="19"/>
              </w:rPr>
              <w:t>+0.22%</w:t>
            </w:r>
          </w:p>
        </w:tc>
        <w:tc>
          <w:tcPr>
            <w:tcW w:type="dxa" w:w="1872"/>
          </w:tcPr>
          <w:p>
            <w:pPr>
              <w:spacing w:before="60" w:after="80" w:line="242" w:lineRule="auto"/>
            </w:pPr>
            <w:r>
              <w:rPr>
                <w:b w:val="0"/>
                <w:sz w:val="19"/>
              </w:rPr>
              <w:t>+0.44%</w:t>
            </w:r>
          </w:p>
        </w:tc>
        <w:tc>
          <w:tcPr>
            <w:tcW w:type="dxa" w:w="1872"/>
          </w:tcPr>
          <w:p>
            <w:pPr>
              <w:spacing w:before="60" w:after="80" w:line="242" w:lineRule="auto"/>
            </w:pPr>
            <w:r>
              <w:rPr>
                <w:b w:val="0"/>
                <w:sz w:val="19"/>
              </w:rPr>
              <w:t>+0.91%</w:t>
            </w:r>
          </w:p>
        </w:tc>
      </w:tr>
    </w:tbl>
    <w:p>
      <w:r>
        <w:rPr>
          <w:b w:val="0"/>
        </w:rPr>
      </w:r>
      <w:r>
        <w:rPr>
          <w:b/>
        </w:rPr>
        <w:t>Reading it:</w:t>
      </w:r>
      <w:r>
        <w:rPr>
          <w:b w:val="0"/>
        </w:rPr>
        <w:t xml:space="preserve"> below 20 has been most supportive; 20 to 40 constructive; 40 to 55 calls for caution; 55 and above is the working warning threshold, set at the 85th percentile of readings, with all three windows negative from 65.</w:t>
      </w:r>
    </w:p>
    <w:p>
      <w:r>
        <w:rPr>
          <w:b w:val="0"/>
          <w:sz w:val="17"/>
        </w:rPr>
      </w:r>
      <w:r>
        <w:rPr>
          <w:b/>
          <w:sz w:val="17"/>
        </w:rPr>
        <w:t>Where it matters most:</w:t>
      </w:r>
      <w:r>
        <w:rPr>
          <w:b w:val="0"/>
          <w:sz w:val="17"/>
        </w:rPr>
        <w:t xml:space="preserve"> most components can only fire while SPY is near its trailing high, and on the 3,032 dates closing less than 2% below it the threshold separates positive averages from negative ones at every horizon, -0.11%, -0.08%, -0.10% at 55 or above against +0.19%, +0.39%, +0.73% below the line, while more than 2% below the high a high reading was not followed by weak returns.</w:t>
      </w:r>
    </w:p>
    <w:p>
      <w:r>
        <w:rPr>
          <w:b w:val="0"/>
          <w:sz w:val="17"/>
        </w:rPr>
        <w:t>Component rows show returns after each warning was active. Study: 8 February 2002 to 18 June 2026; 6,129 common observation dates, the full span over which every component can be measured. Returns include SPY dividends, using prices through 18 September 2026. All tables use the same sample and show average returns. The NYSE Net Highs table covers the 6,043 of those dates whose highs-and-lows record is complete enough to read the warning, and its comparison row uses the same dates.</w:t>
      </w:r>
    </w:p>
    <w:p>
      <w:r>
        <w:rPr>
          <w:b w:val="0"/>
          <w:sz w:val="17"/>
        </w:rPr>
        <w:t>Readings before August 2018 are reconstructed: they show what the current rules produce when applied to the full price history rather than what was published at the time. The stored record begins in July 2016, but its own first two years are a start-up period in which components that need years of trailing history could not yet register, so the study reads the reconstruction there instead. From August 2018 the stored record takes over unchanged, and since July 2026 each reading is written on the day it is produced and never revised afterwards.</w:t>
      </w:r>
    </w:p>
    <w:sectPr w:rsidR="00FC693F" w:rsidRPr="0006063C" w:rsidSect="00034616">
      <w:footerReference w:type="default" r:id="rId9"/>
      <w:pgSz w:w="12240" w:h="15840"/>
      <w:pgMar w:top="691" w:right="864" w:bottom="691" w:left="864" w:header="720"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DENALI  |  Internal  |  21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10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45" w:lineRule="auto"/>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5"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Denali Risk Dial</dc:title>
  <dc:subject/>
  <dc:creator>Denali</dc:creator>
  <cp:keywords/>
  <dc:description>generated by python-docx</dc:description>
  <cp:lastModifiedBy/>
  <cp:revision>1</cp:revision>
  <dcterms:created xsi:type="dcterms:W3CDTF">2013-12-23T23:15:00Z</dcterms:created>
  <dcterms:modified xsi:type="dcterms:W3CDTF">2013-12-23T23:15:00Z</dcterms:modified>
  <cp:category/>
</cp:coreProperties>
</file>