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pPr>
        <w:pStyle w:val="Heading1"/>
        <w:pageBreakBefore/>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keepNext/>
        <w:jc w:val="center"/>
      </w:pPr>
      <w:r>
        <w:drawing>
          <wp:inline xmlns:a="http://schemas.openxmlformats.org/drawingml/2006/main" xmlns:pic="http://schemas.openxmlformats.org/drawingml/2006/picture">
            <wp:extent cx="3240000" cy="243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240000" cy="2430000"/>
                    </a:xfrm>
                    <a:prstGeom prst="rect"/>
                  </pic:spPr>
                </pic:pic>
              </a:graphicData>
            </a:graphic>
          </wp:inline>
        </w:drawing>
      </w:r>
    </w:p>
    <w:p>
      <w:pPr>
        <w:pStyle w:val="Caption2"/>
        <w:keepLines/>
        <w:jc w:val="center"/>
      </w:pPr>
      <w:r>
        <w:t>[사진 1] 부산 — 관내 교원 25,579명(988교)이 본 사업의 1차 이용자다 (참고 이미지)</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p>
      <w:pPr>
        <w:keepNext/>
        <w:jc w:val="center"/>
      </w:pPr>
      <w:r>
        <w:drawing>
          <wp:inline xmlns:a="http://schemas.openxmlformats.org/drawingml/2006/main" xmlns:pic="http://schemas.openxmlformats.org/drawingml/2006/picture">
            <wp:extent cx="5580000" cy="7062188"/>
            <wp:docPr id="13" name="Picture 13" descr="s-compare.png"/>
            <wp:cNvGraphicFramePr>
              <a:graphicFrameLocks noChangeAspect="1"/>
            </wp:cNvGraphicFramePr>
            <a:graphic>
              <a:graphicData uri="http://schemas.openxmlformats.org/drawingml/2006/picture">
                <pic:pic>
                  <pic:nvPicPr>
                    <pic:cNvPr id="0" name="s-compare.png"/>
                    <pic:cNvPicPr/>
                  </pic:nvPicPr>
                  <pic:blipFill>
                    <a:blip r:embed="rId22"/>
                    <a:stretch>
                      <a:fillRect/>
                    </a:stretch>
                  </pic:blipFill>
                  <pic:spPr>
                    <a:xfrm>
                      <a:off x="0" y="0"/>
                      <a:ext cx="5580000" cy="7062188"/>
                    </a:xfrm>
                    <a:prstGeom prst="rect"/>
                  </pic:spPr>
                </pic:pic>
              </a:graphicData>
            </a:graphic>
          </wp:inline>
        </w:drawing>
      </w:r>
    </w:p>
    <w:p>
      <w:pPr>
        <w:pStyle w:val="Caption2"/>
        <w:keepLines/>
        <w:jc w:val="center"/>
      </w:pPr>
      <w:r>
        <w:t>[화면 1] 3안 비교 — 기본안·확장안·완성안의 범위와 금액을 한 화면에서 대조한다</w:t>
      </w:r>
    </w:p>
    <w:p>
      <w:pPr>
        <w:pStyle w:val="Caption2"/>
        <w:keepNext/>
        <w:keepLines/>
        <w:jc w:val="center"/>
      </w:pPr>
      <w:r>
        <w:t>[표 2] 수의계약 요건 충족 확인표</w:t>
      </w:r>
    </w:p>
    <w:tbl>
      <w:tblPr>
        <w:tblStyle w:val="TableGrid"/>
        <w:tblW w:type="dxa" w:w="9638"/>
        <w:tblLook w:firstColumn="1" w:firstRow="1" w:lastColumn="0" w:lastRow="0" w:noHBand="0" w:noVBand="1" w:val="04A0"/>
      </w:tblPr>
      <w:tblGrid>
        <w:gridCol w:w="3212"/>
        <w:gridCol w:w="3212"/>
        <w:gridCol w:w="3214"/>
      </w:tblGrid>
      <w:tr>
        <w:trPr>
          <w:cantSplit/>
          <w:tblHeader/>
        </w:trPr>
        <w:tc>
          <w:tcPr>
            <w:tcW w:type="dxa" w:w="3212"/>
            <w:shd w:val="clear" w:fill="EEF2F7"/>
          </w:tcPr>
          <w:p>
            <w:r>
              <w:rPr>
                <w:rFonts w:ascii="맑은 고딕" w:hAnsi="맑은 고딕" w:eastAsia="맑은 고딕"/>
                <w:b/>
                <w:color w:val="1F3A5F"/>
                <w:sz w:val="20"/>
              </w:rPr>
              <w:t>요건</w:t>
            </w:r>
          </w:p>
        </w:tc>
        <w:tc>
          <w:tcPr>
            <w:tcW w:type="dxa" w:w="3212"/>
            <w:shd w:val="clear" w:fill="EEF2F7"/>
          </w:tcPr>
          <w:p>
            <w:r>
              <w:rPr>
                <w:rFonts w:ascii="맑은 고딕" w:hAnsi="맑은 고딕" w:eastAsia="맑은 고딕"/>
                <w:b/>
                <w:color w:val="1F3A5F"/>
                <w:sz w:val="20"/>
              </w:rPr>
              <w:t>근거</w:t>
            </w:r>
          </w:p>
        </w:tc>
        <w:tc>
          <w:tcPr>
            <w:tcW w:type="dxa" w:w="3214"/>
            <w:shd w:val="clear" w:fill="EEF2F7"/>
          </w:tcPr>
          <w:p>
            <w:r>
              <w:rPr>
                <w:rFonts w:ascii="맑은 고딕" w:hAnsi="맑은 고딕" w:eastAsia="맑은 고딕"/>
                <w:b/>
                <w:color w:val="1F3A5F"/>
                <w:sz w:val="20"/>
              </w:rPr>
              <w:t>확인 결과</w:t>
            </w:r>
          </w:p>
        </w:tc>
      </w:tr>
      <w:tr>
        <w:trPr>
          <w:cantSplit/>
        </w:trPr>
        <w:tc>
          <w:tcPr>
            <w:tcW w:type="dxa" w:w="3212"/>
          </w:tcPr>
          <w:p>
            <w:r>
              <w:rPr>
                <w:rFonts w:ascii="맑은 고딕" w:hAnsi="맑은 고딕" w:eastAsia="맑은 고딕"/>
                <w:b/>
                <w:color w:val="1F3A5F"/>
                <w:sz w:val="20"/>
              </w:rPr>
              <w:t>소액 수의계약</w:t>
            </w:r>
          </w:p>
        </w:tc>
        <w:tc>
          <w:tcPr>
            <w:tcW w:type="dxa" w:w="3212"/>
          </w:tcPr>
          <w:p>
            <w:r>
              <w:rPr>
                <w:rFonts w:ascii="맑은 고딕" w:hAnsi="맑은 고딕" w:eastAsia="맑은 고딕"/>
                <w:b/>
                <w:color w:val="1F3A5F"/>
                <w:sz w:val="20"/>
              </w:rPr>
              <w:t>지방계약법 시행령 제25조 제1항 제5호</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1인 견적(여성기업)</w:t>
            </w:r>
          </w:p>
        </w:tc>
        <w:tc>
          <w:tcPr>
            <w:tcW w:type="dxa" w:w="3212"/>
          </w:tcPr>
          <w:p>
            <w:r>
              <w:rPr>
                <w:rFonts w:ascii="맑은 고딕" w:hAnsi="맑은 고딕" w:eastAsia="맑은 고딕"/>
                <w:b/>
                <w:color w:val="1F3A5F"/>
                <w:sz w:val="20"/>
              </w:rPr>
              <w:t>지방계약법 시행령 제30조 제1항 단서</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여성기업 자격</w:t>
            </w:r>
          </w:p>
        </w:tc>
        <w:tc>
          <w:tcPr>
            <w:tcW w:type="dxa" w:w="3212"/>
          </w:tcPr>
          <w:p>
            <w:r>
              <w:rPr>
                <w:rFonts w:ascii="맑은 고딕" w:hAnsi="맑은 고딕" w:eastAsia="맑은 고딕"/>
                <w:b/>
                <w:color w:val="1F3A5F"/>
                <w:sz w:val="20"/>
              </w:rPr>
              <w:t>「여성기업지원에 관한 법률」 제2조 제1호</w:t>
            </w:r>
          </w:p>
        </w:tc>
        <w:tc>
          <w:tcPr>
            <w:tcW w:type="dxa" w:w="3214"/>
          </w:tcPr>
          <w:p>
            <w:r>
              <w:rPr>
                <w:rFonts w:ascii="맑은 고딕" w:hAnsi="맑은 고딕" w:eastAsia="맑은 고딕"/>
                <w:b/>
                <w:color w:val="1F3A5F"/>
                <w:sz w:val="20"/>
              </w:rPr>
              <w:t>관내 여성기업 — 확인서 첨부</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기본안 공급가액 19,500,000원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확장안 공급가액 33,000,000원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완성안 공급가액 45,000,000원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첨부 증빙</w:t>
            </w:r>
          </w:p>
        </w:tc>
        <w:tc>
          <w:tcPr>
            <w:tcW w:type="dxa" w:w="3212"/>
          </w:tcPr>
          <w:p>
            <w:r>
              <w:rPr>
                <w:rFonts w:ascii="맑은 고딕" w:hAnsi="맑은 고딕" w:eastAsia="맑은 고딕"/>
                <w:b/>
                <w:color w:val="1F3A5F"/>
                <w:sz w:val="20"/>
              </w:rPr>
              <w:t>여성기업확인서·중소기업확인서, 사업자등록증</w:t>
            </w:r>
          </w:p>
        </w:tc>
        <w:tc>
          <w:tcPr>
            <w:tcW w:type="dxa" w:w="3214"/>
          </w:tcPr>
          <w:p>
            <w:r>
              <w:rPr>
                <w:rFonts w:ascii="맑은 고딕" w:hAnsi="맑은 고딕" w:eastAsia="맑은 고딕"/>
                <w:b/>
                <w:color w:val="1F3A5F"/>
                <w:sz w:val="20"/>
              </w:rPr>
              <w:t>유효기간 내 제출</w:t>
            </w:r>
          </w:p>
        </w:tc>
      </w:tr>
    </w:tbl>
    <w:p>
      <w:pPr>
        <w:pStyle w:val="Note"/>
      </w:pP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pPr>
        <w:pStyle w:val="Caption2"/>
        <w:keepNext/>
        <w:keepLines/>
        <w:jc w:val="center"/>
      </w:pPr>
      <w:r>
        <w:t>[표 1] 안별 산출내역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기능점수</w:t>
            </w:r>
          </w:p>
        </w:tc>
        <w:tc>
          <w:tcPr>
            <w:tcW w:type="dxa" w:w="2409"/>
          </w:tcPr>
          <w:p>
            <w:r>
              <w:rPr>
                <w:rFonts w:ascii="맑은 고딕" w:hAnsi="맑은 고딕" w:eastAsia="맑은 고딕"/>
                <w:b/>
                <w:color w:val="1F3A5F"/>
                <w:sz w:val="20"/>
              </w:rPr>
              <w:t>19.4 FP</w:t>
            </w:r>
          </w:p>
        </w:tc>
        <w:tc>
          <w:tcPr>
            <w:tcW w:type="dxa" w:w="2409"/>
          </w:tcPr>
          <w:p>
            <w:r>
              <w:rPr>
                <w:rFonts w:ascii="맑은 고딕" w:hAnsi="맑은 고딕" w:eastAsia="맑은 고딕"/>
                <w:b/>
                <w:color w:val="1F3A5F"/>
                <w:sz w:val="20"/>
              </w:rPr>
              <w:t>26.9 FP</w:t>
            </w:r>
          </w:p>
        </w:tc>
        <w:tc>
          <w:tcPr>
            <w:tcW w:type="dxa" w:w="2411"/>
          </w:tcPr>
          <w:p>
            <w:r>
              <w:rPr>
                <w:rFonts w:ascii="맑은 고딕" w:hAnsi="맑은 고딕" w:eastAsia="맑은 고딕"/>
                <w:b/>
                <w:color w:val="1F3A5F"/>
                <w:sz w:val="20"/>
              </w:rPr>
              <w:t>30.8 FP</w:t>
            </w:r>
          </w:p>
        </w:tc>
      </w:tr>
      <w:tr>
        <w:trPr>
          <w:cantSplit/>
        </w:trPr>
        <w:tc>
          <w:tcPr>
            <w:tcW w:type="dxa" w:w="2409"/>
          </w:tcPr>
          <w:p>
            <w:r>
              <w:rPr>
                <w:rFonts w:ascii="맑은 고딕" w:hAnsi="맑은 고딕" w:eastAsia="맑은 고딕"/>
                <w:b/>
                <w:color w:val="1F3A5F"/>
                <w:sz w:val="20"/>
              </w:rPr>
              <w:t>SW 개발비</w:t>
            </w:r>
          </w:p>
        </w:tc>
        <w:tc>
          <w:tcPr>
            <w:tcW w:type="dxa" w:w="2409"/>
          </w:tcPr>
          <w:p>
            <w:r>
              <w:rPr>
                <w:rFonts w:ascii="맑은 고딕" w:hAnsi="맑은 고딕" w:eastAsia="맑은 고딕"/>
                <w:b/>
                <w:color w:val="1F3A5F"/>
                <w:sz w:val="20"/>
              </w:rPr>
              <w:t>13,716,051원</w:t>
            </w:r>
          </w:p>
        </w:tc>
        <w:tc>
          <w:tcPr>
            <w:tcW w:type="dxa" w:w="2409"/>
          </w:tcPr>
          <w:p>
            <w:r>
              <w:rPr>
                <w:rFonts w:ascii="맑은 고딕" w:hAnsi="맑은 고딕" w:eastAsia="맑은 고딕"/>
                <w:b/>
                <w:color w:val="1F3A5F"/>
                <w:sz w:val="20"/>
              </w:rPr>
              <w:t>19,998,990원</w:t>
            </w:r>
          </w:p>
        </w:tc>
        <w:tc>
          <w:tcPr>
            <w:tcW w:type="dxa" w:w="2411"/>
          </w:tcPr>
          <w:p>
            <w:r>
              <w:rPr>
                <w:rFonts w:ascii="맑은 고딕" w:hAnsi="맑은 고딕" w:eastAsia="맑은 고딕"/>
                <w:b/>
                <w:color w:val="1F3A5F"/>
                <w:sz w:val="20"/>
              </w:rPr>
              <w:t>25,828,846원</w:t>
            </w:r>
          </w:p>
        </w:tc>
      </w:tr>
      <w:tr>
        <w:trPr>
          <w:cantSplit/>
        </w:trPr>
        <w:tc>
          <w:tcPr>
            <w:tcW w:type="dxa" w:w="2409"/>
          </w:tcPr>
          <w:p>
            <w:r>
              <w:rPr>
                <w:rFonts w:ascii="맑은 고딕" w:hAnsi="맑은 고딕" w:eastAsia="맑은 고딕"/>
                <w:b/>
                <w:color w:val="1F3A5F"/>
                <w:sz w:val="20"/>
              </w:rPr>
              <w:t>콘텐츠·연수·직접경비</w:t>
            </w:r>
          </w:p>
        </w:tc>
        <w:tc>
          <w:tcPr>
            <w:tcW w:type="dxa" w:w="2409"/>
          </w:tcPr>
          <w:p>
            <w:r>
              <w:rPr>
                <w:rFonts w:ascii="맑은 고딕" w:hAnsi="맑은 고딕" w:eastAsia="맑은 고딕"/>
                <w:b/>
                <w:color w:val="1F3A5F"/>
                <w:sz w:val="20"/>
              </w:rPr>
              <w:t>4,800,000원</w:t>
            </w:r>
          </w:p>
        </w:tc>
        <w:tc>
          <w:tcPr>
            <w:tcW w:type="dxa" w:w="2409"/>
          </w:tcPr>
          <w:p>
            <w:r>
              <w:rPr>
                <w:rFonts w:ascii="맑은 고딕" w:hAnsi="맑은 고딕" w:eastAsia="맑은 고딕"/>
                <w:b/>
                <w:color w:val="1F3A5F"/>
                <w:sz w:val="20"/>
              </w:rPr>
              <w:t>11,860,000원</w:t>
            </w:r>
          </w:p>
        </w:tc>
        <w:tc>
          <w:tcPr>
            <w:tcW w:type="dxa" w:w="2411"/>
          </w:tcPr>
          <w:p>
            <w:r>
              <w:rPr>
                <w:rFonts w:ascii="맑은 고딕" w:hAnsi="맑은 고딕" w:eastAsia="맑은 고딕"/>
                <w:b/>
                <w:color w:val="1F3A5F"/>
                <w:sz w:val="20"/>
              </w:rPr>
              <w:t>17,550,000원</w:t>
            </w:r>
          </w:p>
        </w:tc>
      </w:tr>
      <w:tr>
        <w:trPr>
          <w:cantSplit/>
        </w:trPr>
        <w:tc>
          <w:tcPr>
            <w:tcW w:type="dxa" w:w="2409"/>
          </w:tcPr>
          <w:p>
            <w:r>
              <w:rPr>
                <w:rFonts w:ascii="맑은 고딕" w:hAnsi="맑은 고딕" w:eastAsia="맑은 고딕"/>
                <w:b/>
                <w:color w:val="1F3A5F"/>
                <w:sz w:val="20"/>
              </w:rPr>
              <w:t>이윤</w:t>
            </w:r>
          </w:p>
        </w:tc>
        <w:tc>
          <w:tcPr>
            <w:tcW w:type="dxa" w:w="2409"/>
          </w:tcPr>
          <w:p>
            <w:r>
              <w:rPr>
                <w:rFonts w:ascii="맑은 고딕" w:hAnsi="맑은 고딕" w:eastAsia="맑은 고딕"/>
                <w:b/>
                <w:color w:val="1F3A5F"/>
                <w:sz w:val="20"/>
              </w:rPr>
              <w:t>983,949원(7.2%)</w:t>
            </w:r>
          </w:p>
        </w:tc>
        <w:tc>
          <w:tcPr>
            <w:tcW w:type="dxa" w:w="2409"/>
          </w:tcPr>
          <w:p>
            <w:r>
              <w:rPr>
                <w:rFonts w:ascii="맑은 고딕" w:hAnsi="맑은 고딕" w:eastAsia="맑은 고딕"/>
                <w:b/>
                <w:color w:val="1F3A5F"/>
                <w:sz w:val="20"/>
              </w:rPr>
              <w:t>1,141,010원(5.7%)</w:t>
            </w:r>
          </w:p>
        </w:tc>
        <w:tc>
          <w:tcPr>
            <w:tcW w:type="dxa" w:w="2411"/>
          </w:tcPr>
          <w:p>
            <w:r>
              <w:rPr>
                <w:rFonts w:ascii="맑은 고딕" w:hAnsi="맑은 고딕" w:eastAsia="맑은 고딕"/>
                <w:b/>
                <w:color w:val="1F3A5F"/>
                <w:sz w:val="20"/>
              </w:rPr>
              <w:t>1,621,154원(6.3%)</w:t>
            </w:r>
          </w:p>
        </w:tc>
      </w:tr>
      <w:tr>
        <w:trPr>
          <w:cantSplit/>
        </w:trPr>
        <w:tc>
          <w:tcPr>
            <w:tcW w:type="dxa" w:w="2409"/>
          </w:tcPr>
          <w:p>
            <w:r>
              <w:rPr>
                <w:rFonts w:ascii="맑은 고딕" w:hAnsi="맑은 고딕" w:eastAsia="맑은 고딕"/>
                <w:b/>
                <w:color w:val="1F3A5F"/>
                <w:sz w:val="20"/>
              </w:rPr>
              <w:t>공급가액</w:t>
            </w:r>
          </w:p>
        </w:tc>
        <w:tc>
          <w:tcPr>
            <w:tcW w:type="dxa" w:w="2409"/>
          </w:tcPr>
          <w:p>
            <w:r>
              <w:rPr>
                <w:rFonts w:ascii="맑은 고딕" w:hAnsi="맑은 고딕" w:eastAsia="맑은 고딕"/>
                <w:b/>
                <w:color w:val="1F3A5F"/>
                <w:sz w:val="20"/>
              </w:rPr>
              <w:t>19,500,000원</w:t>
            </w:r>
          </w:p>
        </w:tc>
        <w:tc>
          <w:tcPr>
            <w:tcW w:type="dxa" w:w="2409"/>
          </w:tcPr>
          <w:p>
            <w:r>
              <w:rPr>
                <w:rFonts w:ascii="맑은 고딕" w:hAnsi="맑은 고딕" w:eastAsia="맑은 고딕"/>
                <w:b/>
                <w:color w:val="1F3A5F"/>
                <w:sz w:val="20"/>
              </w:rPr>
              <w:t>33,000,000원</w:t>
            </w:r>
          </w:p>
        </w:tc>
        <w:tc>
          <w:tcPr>
            <w:tcW w:type="dxa" w:w="2411"/>
          </w:tcPr>
          <w:p>
            <w:r>
              <w:rPr>
                <w:rFonts w:ascii="맑은 고딕" w:hAnsi="맑은 고딕" w:eastAsia="맑은 고딕"/>
                <w:b/>
                <w:color w:val="1F3A5F"/>
                <w:sz w:val="20"/>
              </w:rPr>
              <w:t>45,000,000원</w:t>
            </w:r>
          </w:p>
        </w:tc>
      </w:tr>
      <w:tr>
        <w:trPr>
          <w:cantSplit/>
        </w:trPr>
        <w:tc>
          <w:tcPr>
            <w:tcW w:type="dxa" w:w="2409"/>
          </w:tcPr>
          <w:p>
            <w:pPr>
              <w:keepNext/>
            </w:pPr>
            <w:r>
              <w:rPr>
                <w:rFonts w:ascii="맑은 고딕" w:hAnsi="맑은 고딕" w:eastAsia="맑은 고딕"/>
                <w:b/>
                <w:color w:val="1F3A5F"/>
                <w:sz w:val="20"/>
              </w:rPr>
              <w:t>총 계약금액(부가세 포함)</w:t>
            </w:r>
          </w:p>
        </w:tc>
        <w:tc>
          <w:tcPr>
            <w:tcW w:type="dxa" w:w="2409"/>
          </w:tcPr>
          <w:p>
            <w:pPr>
              <w:keepNext/>
            </w:pPr>
            <w:r>
              <w:rPr>
                <w:rFonts w:ascii="맑은 고딕" w:hAnsi="맑은 고딕" w:eastAsia="맑은 고딕"/>
                <w:b/>
                <w:color w:val="1F3A5F"/>
                <w:sz w:val="20"/>
              </w:rPr>
              <w:t>21,450,000원</w:t>
            </w:r>
          </w:p>
        </w:tc>
        <w:tc>
          <w:tcPr>
            <w:tcW w:type="dxa" w:w="2409"/>
          </w:tcPr>
          <w:p>
            <w:pPr>
              <w:keepNext/>
            </w:pPr>
            <w:r>
              <w:rPr>
                <w:rFonts w:ascii="맑은 고딕" w:hAnsi="맑은 고딕" w:eastAsia="맑은 고딕"/>
                <w:b/>
                <w:color w:val="1F3A5F"/>
                <w:sz w:val="20"/>
              </w:rPr>
              <w:t>36,300,000원</w:t>
            </w:r>
          </w:p>
        </w:tc>
        <w:tc>
          <w:tcPr>
            <w:tcW w:type="dxa" w:w="2411"/>
          </w:tcPr>
          <w:p>
            <w:pPr>
              <w:keepNext/>
            </w:pPr>
            <w:r>
              <w:rPr>
                <w:rFonts w:ascii="맑은 고딕" w:hAnsi="맑은 고딕" w:eastAsia="맑은 고딕"/>
                <w:b/>
                <w:color w:val="1F3A5F"/>
                <w:sz w:val="20"/>
              </w:rPr>
              <w:t>49,500,000원</w:t>
            </w:r>
          </w:p>
        </w:tc>
      </w:tr>
    </w:tbl>
    <w:p>
      <w:r>
        <w:br w:type="page"/>
      </w:r>
    </w:p>
    <w:p>
      <w:pPr>
        <w:pStyle w:val="Heading1"/>
      </w:pPr>
      <w:r>
        <w:t>마스터 요구사항 준수표 — 안별 포함 범위</w:t>
      </w:r>
    </w:p>
    <w:p>
      <w:pPr/>
      <w:r>
        <w:t>완성안(C) 기준 요구사항 29개 ID 에 대한 안별 포함 여부입니다. 같은 ID 라도 안별 정의가 다른 경우(예: A안 SFR-004 '스킬 내려받기' vs C안 SFR-004 'AI 자연어 검색')는 명칭 기준으로 판정했습니다. ○ = 해당 안에서 수용. 괄호는 해당 안에서의 범위를 뜻합니다.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○(2축)</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○(키워드)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○(이용 통계)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SFR-015</w:t>
            </w:r>
          </w:p>
        </w:tc>
        <w:tc>
          <w:tcPr>
            <w:tcW w:type="dxa" w:w="4026"/>
          </w:tcPr>
          <w:p>
            <w:r/>
            <w:r>
              <w:rPr>
                <w:rFonts w:ascii="맑은 고딕" w:hAnsi="맑은 고딕" w:eastAsia="맑은 고딕"/>
                <w:sz w:val="19"/>
              </w:rPr>
              <w:t>공지사항·이용안내</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580000" cy="6360328"/>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580000" cy="6360328"/>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580000" cy="6517266"/>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580000" cy="6517266"/>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580000" cy="5536406"/>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580000" cy="5536406"/>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pPr>
        <w:pStyle w:val="Caption2"/>
        <w:keepNext/>
        <w:keepLines/>
        <w:jc w:val="center"/>
      </w:pPr>
      <w:r>
        <w:t>[표 3] 안별 핵심 하이라이트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관점</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이용·참여 구조</w:t>
            </w:r>
          </w:p>
        </w:tc>
        <w:tc>
          <w:tcPr>
            <w:tcW w:type="dxa" w:w="2409"/>
          </w:tcPr>
          <w:p>
            <w:r>
              <w:rPr>
                <w:rFonts w:ascii="맑은 고딕" w:hAnsi="맑은 고딕" w:eastAsia="맑은 고딕"/>
                <w:b/>
                <w:color w:val="1F3A5F"/>
                <w:sz w:val="20"/>
              </w:rPr>
              <w:t>로그인·개인정보 수집 없는 공개 아카이브</w:t>
            </w:r>
          </w:p>
        </w:tc>
        <w:tc>
          <w:tcPr>
            <w:tcW w:type="dxa" w:w="2409"/>
          </w:tcPr>
          <w:p>
            <w:r>
              <w:rPr>
                <w:rFonts w:ascii="맑은 고딕" w:hAnsi="맑은 고딕" w:eastAsia="맑은 고딕"/>
                <w:b/>
                <w:color w:val="1F3A5F"/>
                <w:sz w:val="20"/>
              </w:rPr>
              <w:t>회원·평점·후기·버전 관리</w:t>
            </w:r>
          </w:p>
        </w:tc>
        <w:tc>
          <w:tcPr>
            <w:tcW w:type="dxa" w:w="2411"/>
          </w:tcPr>
          <w:p>
            <w:r>
              <w:rPr>
                <w:rFonts w:ascii="맑은 고딕" w:hAnsi="맑은 고딕" w:eastAsia="맑은 고딕"/>
                <w:b/>
                <w:color w:val="1F3A5F"/>
                <w:sz w:val="20"/>
              </w:rPr>
              <w:t>AI 자연어 검색·추천·브라우저 체험</w:t>
            </w:r>
          </w:p>
        </w:tc>
      </w:tr>
      <w:tr>
        <w:trPr>
          <w:cantSplit/>
        </w:trPr>
        <w:tc>
          <w:tcPr>
            <w:tcW w:type="dxa" w:w="2409"/>
          </w:tcPr>
          <w:p>
            <w:r>
              <w:rPr>
                <w:rFonts w:ascii="맑은 고딕" w:hAnsi="맑은 고딕" w:eastAsia="맑은 고딕"/>
                <w:b/>
                <w:color w:val="1F3A5F"/>
                <w:sz w:val="20"/>
              </w:rPr>
              <w:t>콘텐츠</w:t>
            </w:r>
          </w:p>
        </w:tc>
        <w:tc>
          <w:tcPr>
            <w:tcW w:type="dxa" w:w="2409"/>
          </w:tcPr>
          <w:p>
            <w:r>
              <w:rPr>
                <w:rFonts w:ascii="맑은 고딕" w:hAnsi="맑은 고딕" w:eastAsia="맑은 고딕"/>
                <w:b/>
                <w:color w:val="1F3A5F"/>
                <w:sz w:val="20"/>
              </w:rPr>
              <w:t>스킬 10종 — 상용 AI 2종 검증·교원 2인 검수</w:t>
            </w:r>
          </w:p>
        </w:tc>
        <w:tc>
          <w:tcPr>
            <w:tcW w:type="dxa" w:w="2409"/>
          </w:tcPr>
          <w:p>
            <w:r>
              <w:rPr>
                <w:rFonts w:ascii="맑은 고딕" w:hAnsi="맑은 고딕" w:eastAsia="맑은 고딕"/>
                <w:b/>
                <w:color w:val="1F3A5F"/>
                <w:sz w:val="20"/>
              </w:rPr>
              <w:t>스킬 25종 — 교원 3인 검수·개정 이력 관리</w:t>
            </w:r>
          </w:p>
        </w:tc>
        <w:tc>
          <w:tcPr>
            <w:tcW w:type="dxa" w:w="2411"/>
          </w:tcPr>
          <w:p>
            <w:r>
              <w:rPr>
                <w:rFonts w:ascii="맑은 고딕" w:hAnsi="맑은 고딕" w:eastAsia="맑은 고딕"/>
                <w:b/>
                <w:color w:val="1F3A5F"/>
                <w:sz w:val="20"/>
              </w:rPr>
              <w:t>스킬 40종 + 직무연수 15시간 + 안내 영상 5편</w:t>
            </w:r>
          </w:p>
        </w:tc>
      </w:tr>
      <w:tr>
        <w:trPr>
          <w:cantSplit/>
        </w:trPr>
        <w:tc>
          <w:tcPr>
            <w:tcW w:type="dxa" w:w="2409"/>
          </w:tcPr>
          <w:p>
            <w:r>
              <w:rPr>
                <w:rFonts w:ascii="맑은 고딕" w:hAnsi="맑은 고딕" w:eastAsia="맑은 고딕"/>
                <w:b/>
                <w:color w:val="1F3A5F"/>
                <w:sz w:val="20"/>
              </w:rPr>
              <w:t>운영·데이터</w:t>
            </w:r>
          </w:p>
        </w:tc>
        <w:tc>
          <w:tcPr>
            <w:tcW w:type="dxa" w:w="2409"/>
          </w:tcPr>
          <w:p>
            <w:r>
              <w:rPr>
                <w:rFonts w:ascii="맑은 고딕" w:hAnsi="맑은 고딕" w:eastAsia="맑은 고딕"/>
                <w:b/>
                <w:color w:val="1F3A5F"/>
                <w:sz w:val="20"/>
              </w:rPr>
              <w:t>이용 통계로 차년도 고도화 우선순위 확보</w:t>
            </w:r>
          </w:p>
        </w:tc>
        <w:tc>
          <w:tcPr>
            <w:tcW w:type="dxa" w:w="2409"/>
          </w:tcPr>
          <w:p>
            <w:r>
              <w:rPr>
                <w:rFonts w:ascii="맑은 고딕" w:hAnsi="맑은 고딕" w:eastAsia="맑은 고딕"/>
                <w:b/>
                <w:color w:val="1F3A5F"/>
                <w:sz w:val="20"/>
              </w:rPr>
              <w:t>관리자 리포트·엑셀 내려받기, 교원 연수 2회</w:t>
            </w:r>
          </w:p>
        </w:tc>
        <w:tc>
          <w:tcPr>
            <w:tcW w:type="dxa" w:w="2411"/>
          </w:tcPr>
          <w:p>
            <w:r>
              <w:rPr>
                <w:rFonts w:ascii="맑은 고딕" w:hAnsi="맑은 고딕" w:eastAsia="맑은 고딕"/>
                <w:b/>
                <w:color w:val="1F3A5F"/>
                <w:sz w:val="20"/>
              </w:rPr>
              <w:t>12개월 유지관리 — 월간 보고·분기 점검</w:t>
            </w:r>
          </w:p>
        </w:tc>
      </w:tr>
      <w:tr>
        <w:trPr>
          <w:cantSplit/>
        </w:trPr>
        <w:tc>
          <w:tcPr>
            <w:tcW w:type="dxa" w:w="2409"/>
          </w:tcPr>
          <w:p>
            <w:pPr>
              <w:keepNext/>
            </w:pPr>
            <w:r>
              <w:rPr>
                <w:rFonts w:ascii="맑은 고딕" w:hAnsi="맑은 고딕" w:eastAsia="맑은 고딕"/>
                <w:b/>
                <w:color w:val="1F3A5F"/>
                <w:sz w:val="20"/>
              </w:rPr>
              <w:t>품질 검증</w:t>
            </w:r>
          </w:p>
        </w:tc>
        <w:tc>
          <w:tcPr>
            <w:tcW w:type="dxa" w:w="2409"/>
          </w:tcPr>
          <w:p>
            <w:pPr>
              <w:keepNext/>
            </w:pPr>
            <w:r>
              <w:rPr>
                <w:rFonts w:ascii="맑은 고딕" w:hAnsi="맑은 고딕" w:eastAsia="맑은 고딕"/>
                <w:b/>
                <w:color w:val="1F3A5F"/>
                <w:sz w:val="20"/>
              </w:rPr>
              <w:t>—</w:t>
            </w:r>
          </w:p>
        </w:tc>
        <w:tc>
          <w:tcPr>
            <w:tcW w:type="dxa" w:w="2409"/>
          </w:tcPr>
          <w:p>
            <w:pPr>
              <w:keepNext/>
            </w:pPr>
            <w:r>
              <w:rPr>
                <w:rFonts w:ascii="맑은 고딕" w:hAnsi="맑은 고딕" w:eastAsia="맑은 고딕"/>
                <w:b/>
                <w:color w:val="1F3A5F"/>
                <w:sz w:val="20"/>
              </w:rPr>
              <w:t>—</w:t>
            </w:r>
          </w:p>
        </w:tc>
        <w:tc>
          <w:tcPr>
            <w:tcW w:type="dxa" w:w="2411"/>
          </w:tcPr>
          <w:p>
            <w:pPr>
              <w:keepNext/>
            </w:pPr>
            <w:r>
              <w:rPr>
                <w:rFonts w:ascii="맑은 고딕" w:hAnsi="맑은 고딕" w:eastAsia="맑은 고딕"/>
                <w:b/>
                <w:color w:val="1F3A5F"/>
                <w:sz w:val="20"/>
              </w:rPr>
              <w:t>대표 질의 30건 검색 품질 검증(QUR-003)</w:t>
            </w:r>
          </w:p>
        </w:tc>
      </w:tr>
    </w:tbl>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keepNext/>
        <w:jc w:val="center"/>
      </w:pPr>
      <w:r>
        <w:drawing>
          <wp:inline xmlns:a="http://schemas.openxmlformats.org/drawingml/2006/main" xmlns:pic="http://schemas.openxmlformats.org/drawingml/2006/picture">
            <wp:extent cx="3240000" cy="487012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240000" cy="4870125"/>
                    </a:xfrm>
                    <a:prstGeom prst="rect"/>
                  </pic:spPr>
                </pic:pic>
              </a:graphicData>
            </a:graphic>
          </wp:inline>
        </w:drawing>
      </w:r>
    </w:p>
    <w:p>
      <w:pPr>
        <w:pStyle w:val="Caption2"/>
        <w:keepLines/>
        <w:jc w:val="center"/>
      </w:pPr>
      <w:r>
        <w:t>[사진 2] 교육연구정보원 연수 채널과 연계해 전 교원으로 확산한다 (참고 이미지)</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Lines/>
        <w:jc w:val="center"/>
      </w:pPr>
      <w:r>
        <w:t>[화면 2] 화면 디자인 시안 검토 12종 — 동일 내용에서 디자인 문법만 달리해 비교하고, 도구형 앱셸·표 인덱스·신관공서 세 방향을 융합한 안을 추진 방향으로 확정하였다</w:t>
      </w:r>
    </w:p>
    <w:p>
      <w:pPr>
        <w:pStyle w:val="Caption2"/>
        <w:keepNext/>
        <w:keepLines/>
        <w:jc w:val="center"/>
      </w:pPr>
      <w:r>
        <w:t>[표 4] 안별 하자·유지관리 조건 비교</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항목</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보장 기간</w:t>
            </w:r>
          </w:p>
        </w:tc>
        <w:tc>
          <w:tcPr>
            <w:tcW w:type="dxa" w:w="2409"/>
          </w:tcPr>
          <w:p>
            <w:r>
              <w:rPr>
                <w:rFonts w:ascii="맑은 고딕" w:hAnsi="맑은 고딕" w:eastAsia="맑은 고딕"/>
                <w:b/>
                <w:color w:val="1F3A5F"/>
                <w:sz w:val="20"/>
              </w:rPr>
              <w:t>하자담보 3개월</w:t>
            </w:r>
          </w:p>
        </w:tc>
        <w:tc>
          <w:tcPr>
            <w:tcW w:type="dxa" w:w="2409"/>
          </w:tcPr>
          <w:p>
            <w:r>
              <w:rPr>
                <w:rFonts w:ascii="맑은 고딕" w:hAnsi="맑은 고딕" w:eastAsia="맑은 고딕"/>
                <w:b/>
                <w:color w:val="1F3A5F"/>
                <w:sz w:val="20"/>
              </w:rPr>
              <w:t>하자담보 6개월</w:t>
            </w:r>
          </w:p>
        </w:tc>
        <w:tc>
          <w:tcPr>
            <w:tcW w:type="dxa" w:w="2411"/>
          </w:tcPr>
          <w:p>
            <w:r>
              <w:rPr>
                <w:rFonts w:ascii="맑은 고딕" w:hAnsi="맑은 고딕" w:eastAsia="맑은 고딕"/>
                <w:b/>
                <w:color w:val="1F3A5F"/>
                <w:sz w:val="20"/>
              </w:rPr>
              <w:t>유지관리 12개월(비용 계약금액 포함)</w:t>
            </w:r>
          </w:p>
        </w:tc>
      </w:tr>
      <w:tr>
        <w:trPr>
          <w:cantSplit/>
        </w:trPr>
        <w:tc>
          <w:tcPr>
            <w:tcW w:type="dxa" w:w="2409"/>
          </w:tcPr>
          <w:p>
            <w:r>
              <w:rPr>
                <w:rFonts w:ascii="맑은 고딕" w:hAnsi="맑은 고딕" w:eastAsia="맑은 고딕"/>
                <w:b/>
                <w:color w:val="1F3A5F"/>
                <w:sz w:val="20"/>
              </w:rPr>
              <w:t>접수 기준</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통보 후 24시간 이내 접수</w:t>
            </w:r>
          </w:p>
        </w:tc>
        <w:tc>
          <w:tcPr>
            <w:tcW w:type="dxa" w:w="2411"/>
          </w:tcPr>
          <w:p>
            <w:r>
              <w:rPr>
                <w:rFonts w:ascii="맑은 고딕" w:hAnsi="맑은 고딕" w:eastAsia="맑은 고딕"/>
                <w:b/>
                <w:color w:val="1F3A5F"/>
                <w:sz w:val="20"/>
              </w:rPr>
              <w:t>통보 후 4시간 이내 접수</w:t>
            </w:r>
          </w:p>
        </w:tc>
      </w:tr>
      <w:tr>
        <w:trPr>
          <w:cantSplit/>
        </w:trPr>
        <w:tc>
          <w:tcPr>
            <w:tcW w:type="dxa" w:w="2409"/>
          </w:tcPr>
          <w:p>
            <w:r>
              <w:rPr>
                <w:rFonts w:ascii="맑은 고딕" w:hAnsi="맑은 고딕" w:eastAsia="맑은 고딕"/>
                <w:b/>
                <w:color w:val="1F3A5F"/>
                <w:sz w:val="20"/>
              </w:rPr>
              <w:t>조치 기준</w:t>
            </w:r>
          </w:p>
        </w:tc>
        <w:tc>
          <w:tcPr>
            <w:tcW w:type="dxa" w:w="2409"/>
          </w:tcPr>
          <w:p>
            <w:r>
              <w:rPr>
                <w:rFonts w:ascii="맑은 고딕" w:hAnsi="맑은 고딕" w:eastAsia="맑은 고딕"/>
                <w:b/>
                <w:color w:val="1F3A5F"/>
                <w:sz w:val="20"/>
              </w:rPr>
              <w:t>통보 후 3일 이내 무상 조치</w:t>
            </w:r>
          </w:p>
        </w:tc>
        <w:tc>
          <w:tcPr>
            <w:tcW w:type="dxa" w:w="2409"/>
          </w:tcPr>
          <w:p>
            <w:r>
              <w:rPr>
                <w:rFonts w:ascii="맑은 고딕" w:hAnsi="맑은 고딕" w:eastAsia="맑은 고딕"/>
                <w:b/>
                <w:color w:val="1F3A5F"/>
                <w:sz w:val="20"/>
              </w:rPr>
              <w:t>3일 이내 조치 원칙</w:t>
            </w:r>
          </w:p>
        </w:tc>
        <w:tc>
          <w:tcPr>
            <w:tcW w:type="dxa" w:w="2411"/>
          </w:tcPr>
          <w:p>
            <w:r>
              <w:rPr>
                <w:rFonts w:ascii="맑은 고딕" w:hAnsi="맑은 고딕" w:eastAsia="맑은 고딕"/>
                <w:b/>
                <w:color w:val="1F3A5F"/>
                <w:sz w:val="20"/>
              </w:rPr>
              <w:t>24시간 이내 1차 조치</w:t>
            </w:r>
          </w:p>
        </w:tc>
      </w:tr>
      <w:tr>
        <w:trPr>
          <w:cantSplit/>
        </w:trPr>
        <w:tc>
          <w:tcPr>
            <w:tcW w:type="dxa" w:w="2409"/>
          </w:tcPr>
          <w:p>
            <w:r>
              <w:rPr>
                <w:rFonts w:ascii="맑은 고딕" w:hAnsi="맑은 고딕" w:eastAsia="맑은 고딕"/>
                <w:b/>
                <w:color w:val="1F3A5F"/>
                <w:sz w:val="20"/>
              </w:rPr>
              <w:t>정기 보고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월 1회 운영 현황 보고서</w:t>
            </w:r>
          </w:p>
        </w:tc>
        <w:tc>
          <w:tcPr>
            <w:tcW w:type="dxa" w:w="2411"/>
          </w:tcPr>
          <w:p>
            <w:r>
              <w:rPr>
                <w:rFonts w:ascii="맑은 고딕" w:hAnsi="맑은 고딕" w:eastAsia="맑은 고딕"/>
                <w:b/>
                <w:color w:val="1F3A5F"/>
                <w:sz w:val="20"/>
              </w:rPr>
              <w:t>월간 보고·분기 점검</w:t>
            </w:r>
          </w:p>
        </w:tc>
      </w:tr>
      <w:tr>
        <w:trPr>
          <w:cantSplit/>
        </w:trPr>
        <w:tc>
          <w:tcPr>
            <w:tcW w:type="dxa" w:w="2409"/>
          </w:tcPr>
          <w:p>
            <w:r>
              <w:rPr>
                <w:rFonts w:ascii="맑은 고딕" w:hAnsi="맑은 고딕" w:eastAsia="맑은 고딕"/>
                <w:b/>
                <w:color w:val="1F3A5F"/>
                <w:sz w:val="20"/>
              </w:rPr>
              <w:t>콘텐츠 무상 갱신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표기 없음</w:t>
            </w:r>
          </w:p>
        </w:tc>
        <w:tc>
          <w:tcPr>
            <w:tcW w:type="dxa" w:w="2411"/>
          </w:tcPr>
          <w:p>
            <w:r>
              <w:rPr>
                <w:rFonts w:ascii="맑은 고딕" w:hAnsi="맑은 고딕" w:eastAsia="맑은 고딕"/>
                <w:b/>
                <w:color w:val="1F3A5F"/>
                <w:sz w:val="20"/>
              </w:rPr>
              <w:t>기간 중 최대 15종</w:t>
            </w:r>
          </w:p>
        </w:tc>
      </w:tr>
    </w:tbl>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Caption2"/>
        <w:keepNext/>
        <w:keepLines/>
        <w:jc w:val="center"/>
      </w:pPr>
      <w:r>
        <w:t>[표 5] 안별 수록 그림 대응표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화면·구성 그림</w:t>
            </w:r>
          </w:p>
        </w:tc>
        <w:tc>
          <w:tcPr>
            <w:tcW w:type="dxa" w:w="2409"/>
            <w:shd w:val="clear" w:fill="EEF2F7"/>
          </w:tcPr>
          <w:p>
            <w:r>
              <w:rPr>
                <w:rFonts w:ascii="맑은 고딕" w:hAnsi="맑은 고딕" w:eastAsia="맑은 고딕"/>
                <w:b/>
                <w:color w:val="1F3A5F"/>
                <w:sz w:val="20"/>
              </w:rPr>
              <w:t>공정표 그림</w:t>
            </w:r>
          </w:p>
        </w:tc>
        <w:tc>
          <w:tcPr>
            <w:tcW w:type="dxa" w:w="2411"/>
            <w:shd w:val="clear" w:fill="EEF2F7"/>
          </w:tcPr>
          <w:p>
            <w:r>
              <w:rPr>
                <w:rFonts w:ascii="맑은 고딕" w:hAnsi="맑은 고딕" w:eastAsia="맑은 고딕"/>
                <w:b/>
                <w:color w:val="1F3A5F"/>
                <w:sz w:val="20"/>
              </w:rPr>
              <w:t>공통 그림</w:t>
            </w:r>
          </w:p>
        </w:tc>
      </w:tr>
      <w:tr>
        <w:trPr>
          <w:cantSplit/>
        </w:trPr>
        <w:tc>
          <w:tcPr>
            <w:tcW w:type="dxa" w:w="2409"/>
          </w:tcPr>
          <w:p>
            <w:r>
              <w:rPr>
                <w:rFonts w:ascii="맑은 고딕" w:hAnsi="맑은 고딕" w:eastAsia="맑은 고딕"/>
                <w:b/>
                <w:color w:val="1F3A5F"/>
                <w:sz w:val="20"/>
              </w:rPr>
              <w:t>기본안(A)</w:t>
            </w:r>
          </w:p>
        </w:tc>
        <w:tc>
          <w:tcPr>
            <w:tcW w:type="dxa" w:w="2409"/>
          </w:tcPr>
          <w:p>
            <w:r>
              <w:rPr>
                <w:rFonts w:ascii="맑은 고딕" w:hAnsi="맑은 고딕" w:eastAsia="맑은 고딕"/>
                <w:b/>
                <w:color w:val="1F3A5F"/>
                <w:sz w:val="20"/>
              </w:rPr>
              <w:t>[그림 3] 무로그인 검색 도달</w:t>
            </w:r>
          </w:p>
        </w:tc>
        <w:tc>
          <w:tcPr>
            <w:tcW w:type="dxa" w:w="2409"/>
          </w:tcPr>
          <w:p>
            <w:r>
              <w:rPr>
                <w:rFonts w:ascii="맑은 고딕" w:hAnsi="맑은 고딕" w:eastAsia="맑은 고딕"/>
                <w:b/>
                <w:color w:val="1F3A5F"/>
                <w:sz w:val="20"/>
              </w:rPr>
              <w:t>[그림 4] 8주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확장안(B)</w:t>
            </w:r>
          </w:p>
        </w:tc>
        <w:tc>
          <w:tcPr>
            <w:tcW w:type="dxa" w:w="2409"/>
          </w:tcPr>
          <w:p>
            <w:r>
              <w:rPr>
                <w:rFonts w:ascii="맑은 고딕" w:hAnsi="맑은 고딕" w:eastAsia="맑은 고딕"/>
                <w:b/>
                <w:color w:val="1F3A5F"/>
                <w:sz w:val="20"/>
              </w:rPr>
              <w:t>[그림 5] 4축 필터·평점·컬렉션</w:t>
            </w:r>
          </w:p>
        </w:tc>
        <w:tc>
          <w:tcPr>
            <w:tcW w:type="dxa" w:w="2409"/>
          </w:tcPr>
          <w:p>
            <w:r>
              <w:rPr>
                <w:rFonts w:ascii="맑은 고딕" w:hAnsi="맑은 고딕" w:eastAsia="맑은 고딕"/>
                <w:b/>
                <w:color w:val="1F3A5F"/>
                <w:sz w:val="20"/>
              </w:rPr>
              <w:t>[그림 6] 12주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완성안(C)</w:t>
            </w:r>
          </w:p>
        </w:tc>
        <w:tc>
          <w:tcPr>
            <w:tcW w:type="dxa" w:w="2409"/>
          </w:tcPr>
          <w:p>
            <w:r>
              <w:rPr>
                <w:rFonts w:ascii="맑은 고딕" w:hAnsi="맑은 고딕" w:eastAsia="맑은 고딕"/>
                <w:b/>
                <w:color w:val="1F3A5F"/>
                <w:sz w:val="20"/>
              </w:rPr>
              <w:t>[그림 7] AI 자연어 검색 결과</w:t>
            </w:r>
          </w:p>
        </w:tc>
        <w:tc>
          <w:tcPr>
            <w:tcW w:type="dxa" w:w="2409"/>
          </w:tcPr>
          <w:p>
            <w:r>
              <w:rPr>
                <w:rFonts w:ascii="맑은 고딕" w:hAnsi="맑은 고딕" w:eastAsia="맑은 고딕"/>
                <w:b/>
                <w:color w:val="1F3A5F"/>
                <w:sz w:val="20"/>
              </w:rPr>
              <w:t>[그림 8] 16주 8단계 공정</w:t>
            </w:r>
          </w:p>
        </w:tc>
        <w:tc>
          <w:tcPr>
            <w:tcW w:type="dxa" w:w="2411"/>
          </w:tcPr>
          <w:p>
            <w:r>
              <w:rPr>
                <w:rFonts w:ascii="맑은 고딕" w:hAnsi="맑은 고딕" w:eastAsia="맑은 고딕"/>
                <w:b/>
                <w:color w:val="1F3A5F"/>
                <w:sz w:val="20"/>
              </w:rPr>
              <w:t>[그림 1]·[그림 2]·[그림 9]·[그림 10]</w:t>
            </w:r>
          </w:p>
        </w:tc>
      </w:tr>
    </w:tbl>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p>
      <w:pPr>
        <w:keepNext/>
        <w:jc w:val="center"/>
      </w:pPr>
      <w:r>
        <w:drawing>
          <wp:inline xmlns:a="http://schemas.openxmlformats.org/drawingml/2006/main" xmlns:pic="http://schemas.openxmlformats.org/drawingml/2006/picture">
            <wp:extent cx="3240000" cy="1822500"/>
            <wp:docPr id="16" name="Picture 16" descr="presentation-1.jpg"/>
            <wp:cNvGraphicFramePr>
              <a:graphicFrameLocks noChangeAspect="1"/>
            </wp:cNvGraphicFramePr>
            <a:graphic>
              <a:graphicData uri="http://schemas.openxmlformats.org/drawingml/2006/picture">
                <pic:pic>
                  <pic:nvPicPr>
                    <pic:cNvPr id="0" name="presentation-1.jpg"/>
                    <pic:cNvPicPr/>
                  </pic:nvPicPr>
                  <pic:blipFill>
                    <a:blip r:embed="rId25"/>
                    <a:stretch>
                      <a:fillRect/>
                    </a:stretch>
                  </pic:blipFill>
                  <pic:spPr>
                    <a:xfrm>
                      <a:off x="0" y="0"/>
                      <a:ext cx="3240000" cy="1822500"/>
                    </a:xfrm>
                    <a:prstGeom prst="rect"/>
                  </pic:spPr>
                </pic:pic>
              </a:graphicData>
            </a:graphic>
          </wp:inline>
        </w:drawing>
      </w:r>
    </w:p>
    <w:p>
      <w:pPr>
        <w:pStyle w:val="Caption2"/>
        <w:keepLines/>
        <w:jc w:val="center"/>
      </w:pPr>
      <w:r>
        <w:t>[사진 3] 안 확정 후 착수보고로 사업을 시작한다 — 착수계는 계약체결일로부터 7일 이내 제출 (참고 이미지)</w:t>
      </w:r>
    </w:p>
    <w:p>
      <w:pPr>
        <w:pStyle w:val="Caption2"/>
        <w:keepNext/>
        <w:keepLines/>
        <w:jc w:val="center"/>
      </w:pPr>
      <w:r>
        <w:t>[표 6] 안별 과업 범위 구성요소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업무 구성요소</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사전 분석 및 설계</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시스템 개발</w:t>
            </w:r>
          </w:p>
        </w:tc>
        <w:tc>
          <w:tcPr>
            <w:tcW w:type="dxa" w:w="2409"/>
          </w:tcPr>
          <w:p>
            <w:r>
              <w:rPr>
                <w:rFonts w:ascii="맑은 고딕" w:hAnsi="맑은 고딕" w:eastAsia="맑은 고딕"/>
                <w:b/>
                <w:color w:val="1F3A5F"/>
                <w:sz w:val="20"/>
              </w:rPr>
              <w:t>아카이브 시스템</w:t>
            </w:r>
          </w:p>
        </w:tc>
        <w:tc>
          <w:tcPr>
            <w:tcW w:type="dxa" w:w="2409"/>
          </w:tcPr>
          <w:p>
            <w:r>
              <w:rPr>
                <w:rFonts w:ascii="맑은 고딕" w:hAnsi="맑은 고딕" w:eastAsia="맑은 고딕"/>
                <w:b/>
                <w:color w:val="1F3A5F"/>
                <w:sz w:val="20"/>
              </w:rPr>
              <w:t>포털 시스템</w:t>
            </w:r>
          </w:p>
        </w:tc>
        <w:tc>
          <w:tcPr>
            <w:tcW w:type="dxa" w:w="2411"/>
          </w:tcPr>
          <w:p>
            <w:r>
              <w:rPr>
                <w:rFonts w:ascii="맑은 고딕" w:hAnsi="맑은 고딕" w:eastAsia="맑은 고딕"/>
                <w:b/>
                <w:color w:val="1F3A5F"/>
                <w:sz w:val="20"/>
              </w:rPr>
              <w:t>포털 시스템</w:t>
            </w:r>
          </w:p>
        </w:tc>
      </w:tr>
      <w:tr>
        <w:trPr>
          <w:cantSplit/>
        </w:trPr>
        <w:tc>
          <w:tcPr>
            <w:tcW w:type="dxa" w:w="2409"/>
          </w:tcPr>
          <w:p>
            <w:r>
              <w:rPr>
                <w:rFonts w:ascii="맑은 고딕" w:hAnsi="맑은 고딕" w:eastAsia="맑은 고딕"/>
                <w:b/>
                <w:color w:val="1F3A5F"/>
                <w:sz w:val="20"/>
              </w:rPr>
              <w:t>AI 자연어 검색 및 체험 기능</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교육용 AI 스킬 콘텐츠 제작</w:t>
            </w:r>
          </w:p>
        </w:tc>
        <w:tc>
          <w:tcPr>
            <w:tcW w:type="dxa" w:w="2409"/>
          </w:tcPr>
          <w:p>
            <w:r>
              <w:rPr>
                <w:rFonts w:ascii="맑은 고딕" w:hAnsi="맑은 고딕" w:eastAsia="맑은 고딕"/>
                <w:b/>
                <w:color w:val="1F3A5F"/>
                <w:sz w:val="20"/>
              </w:rPr>
              <w:t>10종</w:t>
            </w:r>
          </w:p>
        </w:tc>
        <w:tc>
          <w:tcPr>
            <w:tcW w:type="dxa" w:w="2409"/>
          </w:tcPr>
          <w:p>
            <w:r>
              <w:rPr>
                <w:rFonts w:ascii="맑은 고딕" w:hAnsi="맑은 고딕" w:eastAsia="맑은 고딕"/>
                <w:b/>
                <w:color w:val="1F3A5F"/>
                <w:sz w:val="20"/>
              </w:rPr>
              <w:t>25종</w:t>
            </w:r>
          </w:p>
        </w:tc>
        <w:tc>
          <w:tcPr>
            <w:tcW w:type="dxa" w:w="2411"/>
          </w:tcPr>
          <w:p>
            <w:r>
              <w:rPr>
                <w:rFonts w:ascii="맑은 고딕" w:hAnsi="맑은 고딕" w:eastAsia="맑은 고딕"/>
                <w:b/>
                <w:color w:val="1F3A5F"/>
                <w:sz w:val="20"/>
              </w:rPr>
              <w:t>40종</w:t>
            </w:r>
          </w:p>
        </w:tc>
      </w:tr>
      <w:tr>
        <w:trPr>
          <w:cantSplit/>
        </w:trPr>
        <w:tc>
          <w:tcPr>
            <w:tcW w:type="dxa" w:w="2409"/>
          </w:tcPr>
          <w:p>
            <w:r>
              <w:rPr>
                <w:rFonts w:ascii="맑은 고딕" w:hAnsi="맑은 고딕" w:eastAsia="맑은 고딕"/>
                <w:b/>
                <w:color w:val="1F3A5F"/>
                <w:sz w:val="20"/>
              </w:rPr>
              <w:t>교원 연수</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교원 연수</w:t>
            </w:r>
          </w:p>
        </w:tc>
        <w:tc>
          <w:tcPr>
            <w:tcW w:type="dxa" w:w="2411"/>
          </w:tcPr>
          <w:p>
            <w:r>
              <w:rPr>
                <w:rFonts w:ascii="맑은 고딕" w:hAnsi="맑은 고딕" w:eastAsia="맑은 고딕"/>
                <w:b/>
                <w:color w:val="1F3A5F"/>
                <w:sz w:val="20"/>
              </w:rPr>
              <w:t>교원 직무연수 및 안내 영상</w:t>
            </w:r>
          </w:p>
        </w:tc>
      </w:tr>
      <w:tr>
        <w:trPr>
          <w:cantSplit/>
        </w:trPr>
        <w:tc>
          <w:tcPr>
            <w:tcW w:type="dxa" w:w="2409"/>
          </w:tcPr>
          <w:p>
            <w:r>
              <w:rPr>
                <w:rFonts w:ascii="맑은 고딕" w:hAnsi="맑은 고딕" w:eastAsia="맑은 고딕"/>
                <w:b/>
                <w:color w:val="1F3A5F"/>
                <w:sz w:val="20"/>
              </w:rPr>
              <w:t>배포 이후</w:t>
            </w:r>
          </w:p>
        </w:tc>
        <w:tc>
          <w:tcPr>
            <w:tcW w:type="dxa" w:w="2409"/>
          </w:tcPr>
          <w:p>
            <w:r>
              <w:rPr>
                <w:rFonts w:ascii="맑은 고딕" w:hAnsi="맑은 고딕" w:eastAsia="맑은 고딕"/>
                <w:b/>
                <w:color w:val="1F3A5F"/>
                <w:sz w:val="20"/>
              </w:rPr>
              <w:t>배포 및 안정화</w:t>
            </w:r>
          </w:p>
        </w:tc>
        <w:tc>
          <w:tcPr>
            <w:tcW w:type="dxa" w:w="2409"/>
          </w:tcPr>
          <w:p>
            <w:r>
              <w:rPr>
                <w:rFonts w:ascii="맑은 고딕" w:hAnsi="맑은 고딕" w:eastAsia="맑은 고딕"/>
                <w:b/>
                <w:color w:val="1F3A5F"/>
                <w:sz w:val="20"/>
              </w:rPr>
              <w:t>배포 및 유지관리</w:t>
            </w:r>
          </w:p>
        </w:tc>
        <w:tc>
          <w:tcPr>
            <w:tcW w:type="dxa" w:w="2411"/>
          </w:tcPr>
          <w:p>
            <w:r>
              <w:rPr>
                <w:rFonts w:ascii="맑은 고딕" w:hAnsi="맑은 고딕" w:eastAsia="맑은 고딕"/>
                <w:b/>
                <w:color w:val="1F3A5F"/>
                <w:sz w:val="20"/>
              </w:rPr>
              <w:t>배포 및 유지관리</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