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연수로 이 공백을 채웁니다. "AI 시대를 선도하는 인간중심 미래교육"(부산광역시교육청 2026년 주요업무계획, 4대 역점과제 제1과제)과 교육감 공약 'AI 교수학습지원센터 구축'의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전체(29개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5940000"/>
            <wp:docPr id="13" name="Picture 13" descr="busan-city-4.jpg"/>
            <wp:cNvGraphicFramePr>
              <a:graphicFrameLocks noChangeAspect="1"/>
            </wp:cNvGraphicFramePr>
            <a:graphic>
              <a:graphicData uri="http://schemas.openxmlformats.org/drawingml/2006/picture">
                <pic:pic>
                  <pic:nvPicPr>
                    <pic:cNvPr id="0" name="busan-city-4.jpg"/>
                    <pic:cNvPicPr/>
                  </pic:nvPicPr>
                  <pic:blipFill>
                    <a:blip r:embed="rId22"/>
                    <a:stretch>
                      <a:fillRect/>
                    </a:stretch>
                  </pic:blipFill>
                  <pic:spPr>
                    <a:xfrm>
                      <a:off x="0" y="0"/>
                      <a:ext cx="3960000" cy="5940000"/>
                    </a:xfrm>
                    <a:prstGeom prst="rect"/>
                  </pic:spPr>
                </pic:pic>
              </a:graphicData>
            </a:graphic>
          </wp:inline>
        </w:drawing>
      </w:r>
    </w:p>
    <w:p>
      <w:pPr>
        <w:pStyle w:val="Caption2"/>
        <w:keepLines/>
        <w:jc w:val="center"/>
      </w:pPr>
      <w:r>
        <w:t>[사진 1] 부산광역시교육청 관내 소재 — 유지관리 12개월 동안에도 당일 대면 대응이 가능한 위치 (Ⅴ-3 · Ⅵ-6)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4" name="Picture 14" descr="teacher-laptop-5.jpg"/>
            <wp:cNvGraphicFramePr>
              <a:graphicFrameLocks noChangeAspect="1"/>
            </wp:cNvGraphicFramePr>
            <a:graphic>
              <a:graphicData uri="http://schemas.openxmlformats.org/drawingml/2006/picture">
                <pic:pic>
                  <pic:nvPicPr>
                    <pic:cNvPr id="0" name="teacher-laptop-5.jpg"/>
                    <pic:cNvPicPr/>
                  </pic:nvPicPr>
                  <pic:blipFill>
                    <a:blip r:embed="rId23"/>
                    <a:stretch>
                      <a:fillRect/>
                    </a:stretch>
                  </pic:blipFill>
                  <pic:spPr>
                    <a:xfrm>
                      <a:off x="0" y="0"/>
                      <a:ext cx="3960000" cy="2640825"/>
                    </a:xfrm>
                    <a:prstGeom prst="rect"/>
                  </pic:spPr>
                </pic:pic>
              </a:graphicData>
            </a:graphic>
          </wp:inline>
        </w:drawing>
      </w:r>
    </w:p>
    <w:p>
      <w:pPr>
        <w:pStyle w:val="Caption2"/>
        <w:keepLines/>
        <w:jc w:val="center"/>
      </w:pPr>
      <w:r>
        <w:t>[사진 2] 교원 개개인에게 흩어진 활용 역량을 교육청 공식 자산으로 전환한다 (Ⅱ-1 ·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32575"/>
            <wp:docPr id="15" name="Picture 15" descr="training-workshop-5.jpg"/>
            <wp:cNvGraphicFramePr>
              <a:graphicFrameLocks noChangeAspect="1"/>
            </wp:cNvGraphicFramePr>
            <a:graphic>
              <a:graphicData uri="http://schemas.openxmlformats.org/drawingml/2006/picture">
                <pic:pic>
                  <pic:nvPicPr>
                    <pic:cNvPr id="0" name="training-workshop-5.jpg"/>
                    <pic:cNvPicPr/>
                  </pic:nvPicPr>
                  <pic:blipFill>
                    <a:blip r:embed="rId24"/>
                    <a:stretch>
                      <a:fillRect/>
                    </a:stretch>
                  </pic:blipFill>
                  <pic:spPr>
                    <a:xfrm>
                      <a:off x="0" y="0"/>
                      <a:ext cx="3960000" cy="5932575"/>
                    </a:xfrm>
                    <a:prstGeom prst="rect"/>
                  </pic:spPr>
                </pic:pic>
              </a:graphicData>
            </a:graphic>
          </wp:inline>
        </w:drawing>
      </w:r>
    </w:p>
    <w:p>
      <w:pPr>
        <w:pStyle w:val="Caption2"/>
        <w:keepLines/>
        <w:jc w:val="center"/>
      </w:pPr>
      <w:r>
        <w:t>[사진 3] 시드 저자군에서 시작해 직무연수로 확산하고, 연수 산출물이 다시 포털 콘텐츠가 된다 (Ⅱ-5 · Ⅵ-2) (참고 이미지)</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580000" cy="5536406"/>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580000" cy="5536406"/>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게이트웨이(레이트리밋·필터) + 외부 AI API</w:t>
      </w:r>
    </w:p>
    <w:p>
      <w:pPr>
        <w:pStyle w:val="Caption2"/>
        <w:keepNext/>
        <w:keepLines/>
        <w:jc w:val="center"/>
      </w:pPr>
      <w:r>
        <w:t>[표 C-3] 외부 AI 연동 통제 지점 요약</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통제 지점</w:t>
            </w:r>
          </w:p>
        </w:tc>
        <w:tc>
          <w:tcPr>
            <w:tcW w:type="dxa" w:w="2409"/>
            <w:shd w:val="clear" w:fill="1F3A5F"/>
          </w:tcPr>
          <w:p>
            <w:r>
              <w:rPr>
                <w:rFonts w:ascii="맑은 고딕" w:hAnsi="맑은 고딕" w:eastAsia="맑은 고딕"/>
                <w:b/>
                <w:color w:val="FFFFFF"/>
                <w:sz w:val="19"/>
              </w:rPr>
              <w:t>통제 내용</w:t>
            </w:r>
          </w:p>
        </w:tc>
        <w:tc>
          <w:tcPr>
            <w:tcW w:type="dxa" w:w="2409"/>
            <w:shd w:val="clear" w:fill="1F3A5F"/>
          </w:tcPr>
          <w:p>
            <w:r>
              <w:rPr>
                <w:rFonts w:ascii="맑은 고딕" w:hAnsi="맑은 고딕" w:eastAsia="맑은 고딕"/>
                <w:b/>
                <w:color w:val="FFFFFF"/>
                <w:sz w:val="19"/>
              </w:rPr>
              <w:t>근거 요구사항</w:t>
            </w:r>
          </w:p>
        </w:tc>
        <w:tc>
          <w:tcPr>
            <w:tcW w:type="dxa" w:w="2411"/>
            <w:shd w:val="clear" w:fill="1F3A5F"/>
          </w:tcPr>
          <w:p>
            <w:r>
              <w:rPr>
                <w:rFonts w:ascii="맑은 고딕" w:hAnsi="맑은 고딕" w:eastAsia="맑은 고딕"/>
                <w:b/>
                <w:color w:val="FFFFFF"/>
                <w:sz w:val="19"/>
              </w:rPr>
              <w:t>확인 방법</w:t>
            </w:r>
          </w:p>
        </w:tc>
      </w:tr>
      <w:tr>
        <w:trPr>
          <w:cantSplit/>
        </w:trPr>
        <w:tc>
          <w:tcPr>
            <w:tcW w:type="dxa" w:w="2409"/>
          </w:tcPr>
          <w:p>
            <w:r>
              <w:rPr>
                <w:rFonts w:ascii="맑은 고딕" w:hAnsi="맑은 고딕" w:eastAsia="맑은 고딕"/>
                <w:sz w:val="19"/>
              </w:rPr>
              <w:t>이용량 상한</w:t>
            </w:r>
          </w:p>
        </w:tc>
        <w:tc>
          <w:tcPr>
            <w:tcW w:type="dxa" w:w="2409"/>
          </w:tcPr>
          <w:p>
            <w:r>
              <w:rPr>
                <w:rFonts w:ascii="맑은 고딕" w:hAnsi="맑은 고딕" w:eastAsia="맑은 고딕"/>
                <w:sz w:val="19"/>
              </w:rPr>
              <w:t>계정·일자별 상한, 초과 시 자동 차단</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이용량 상한 차단 시나리오 시험(Ⅳ장)</w:t>
            </w:r>
          </w:p>
        </w:tc>
      </w:tr>
      <w:tr>
        <w:trPr>
          <w:cantSplit/>
        </w:trPr>
        <w:tc>
          <w:tcPr>
            <w:tcW w:type="dxa" w:w="2409"/>
          </w:tcPr>
          <w:p>
            <w:r>
              <w:rPr>
                <w:rFonts w:ascii="맑은 고딕" w:hAnsi="맑은 고딕" w:eastAsia="맑은 고딕"/>
                <w:sz w:val="19"/>
              </w:rPr>
              <w:t>개인정보 입력</w:t>
            </w:r>
          </w:p>
        </w:tc>
        <w:tc>
          <w:tcPr>
            <w:tcW w:type="dxa" w:w="2409"/>
          </w:tcPr>
          <w:p>
            <w:r>
              <w:rPr>
                <w:rFonts w:ascii="맑은 고딕" w:hAnsi="맑은 고딕" w:eastAsia="맑은 고딕"/>
                <w:sz w:val="19"/>
              </w:rPr>
              <w:t>입력 단계 미입력 안내 상시 노출</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Ⅲ-2 다 · [그림 7]</w:t>
            </w:r>
          </w:p>
        </w:tc>
      </w:tr>
      <w:tr>
        <w:trPr>
          <w:cantSplit/>
        </w:trPr>
        <w:tc>
          <w:tcPr>
            <w:tcW w:type="dxa" w:w="2409"/>
          </w:tcPr>
          <w:p>
            <w:r>
              <w:rPr>
                <w:rFonts w:ascii="맑은 고딕" w:hAnsi="맑은 고딕" w:eastAsia="맑은 고딕"/>
                <w:sz w:val="19"/>
              </w:rPr>
              <w:t>전송 전 필터링</w:t>
            </w:r>
          </w:p>
        </w:tc>
        <w:tc>
          <w:tcPr>
            <w:tcW w:type="dxa" w:w="2409"/>
          </w:tcPr>
          <w:p>
            <w:r>
              <w:rPr>
                <w:rFonts w:ascii="맑은 고딕" w:hAnsi="맑은 고딕" w:eastAsia="맑은 고딕"/>
                <w:sz w:val="19"/>
              </w:rPr>
              <w:t>성명·연락처·주민등록번호 형식 패턴 필터링</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개인정보 패턴 필터링 시나리오 시험(Ⅳ장)</w:t>
            </w:r>
          </w:p>
        </w:tc>
      </w:tr>
      <w:tr>
        <w:trPr>
          <w:cantSplit/>
        </w:trPr>
        <w:tc>
          <w:tcPr>
            <w:tcW w:type="dxa" w:w="2409"/>
          </w:tcPr>
          <w:p>
            <w:r>
              <w:rPr>
                <w:rFonts w:ascii="맑은 고딕" w:hAnsi="맑은 고딕" w:eastAsia="맑은 고딕"/>
                <w:sz w:val="19"/>
              </w:rPr>
              <w:t>외부 AI 장애</w:t>
            </w:r>
          </w:p>
        </w:tc>
        <w:tc>
          <w:tcPr>
            <w:tcW w:type="dxa" w:w="2409"/>
          </w:tcPr>
          <w:p>
            <w:r>
              <w:rPr>
                <w:rFonts w:ascii="맑은 고딕" w:hAnsi="맑은 고딕" w:eastAsia="맑은 고딕"/>
                <w:sz w:val="19"/>
              </w:rPr>
              <w:t>키워드 검색·기본 목록으로 대체 동작</w:t>
            </w:r>
          </w:p>
        </w:tc>
        <w:tc>
          <w:tcPr>
            <w:tcW w:type="dxa" w:w="2409"/>
          </w:tcPr>
          <w:p>
            <w:r>
              <w:rPr>
                <w:rFonts w:ascii="맑은 고딕" w:hAnsi="맑은 고딕" w:eastAsia="맑은 고딕"/>
                <w:sz w:val="19"/>
              </w:rPr>
              <w:t>ECR-001</w:t>
            </w:r>
          </w:p>
        </w:tc>
        <w:tc>
          <w:tcPr>
            <w:tcW w:type="dxa" w:w="2411"/>
          </w:tcPr>
          <w:p>
            <w:r>
              <w:rPr>
                <w:rFonts w:ascii="맑은 고딕" w:hAnsi="맑은 고딕" w:eastAsia="맑은 고딕"/>
                <w:sz w:val="19"/>
              </w:rPr>
              <w:t>Ⅲ-1 [그림 5] · Ⅴ-4 위험 대응</w:t>
            </w:r>
          </w:p>
        </w:tc>
      </w:tr>
      <w:tr>
        <w:trPr>
          <w:cantSplit/>
        </w:trPr>
        <w:tc>
          <w:tcPr>
            <w:tcW w:type="dxa" w:w="2409"/>
          </w:tcPr>
          <w:p>
            <w:r>
              <w:rPr>
                <w:rFonts w:ascii="맑은 고딕" w:hAnsi="맑은 고딕" w:eastAsia="맑은 고딕"/>
                <w:sz w:val="19"/>
              </w:rPr>
              <w:t>키·이용량 통제 위치</w:t>
            </w:r>
          </w:p>
        </w:tc>
        <w:tc>
          <w:tcPr>
            <w:tcW w:type="dxa" w:w="2409"/>
          </w:tcPr>
          <w:p>
            <w:r>
              <w:rPr>
                <w:rFonts w:ascii="맑은 고딕" w:hAnsi="맑은 고딕" w:eastAsia="맑은 고딕"/>
                <w:sz w:val="19"/>
              </w:rPr>
              <w:t>체험 게이트웨이 뒤에 외부 AI API 배치</w:t>
            </w:r>
          </w:p>
        </w:tc>
        <w:tc>
          <w:tcPr>
            <w:tcW w:type="dxa" w:w="2409"/>
          </w:tcPr>
          <w:p>
            <w:r>
              <w:rPr>
                <w:rFonts w:ascii="맑은 고딕" w:hAnsi="맑은 고딕" w:eastAsia="맑은 고딕"/>
                <w:sz w:val="19"/>
              </w:rPr>
              <w:t>ECR-001·SER-003</w:t>
            </w:r>
          </w:p>
        </w:tc>
        <w:tc>
          <w:tcPr>
            <w:tcW w:type="dxa" w:w="2411"/>
          </w:tcPr>
          <w:p>
            <w:r>
              <w:rPr>
                <w:rFonts w:ascii="맑은 고딕" w:hAnsi="맑은 고딕" w:eastAsia="맑은 고딕"/>
                <w:sz w:val="19"/>
              </w:rPr>
              <w:t>Ⅲ-3 기술 스택</w:t>
            </w:r>
          </w:p>
        </w:tc>
      </w:tr>
      <w:tr>
        <w:trPr>
          <w:cantSplit/>
        </w:trPr>
        <w:tc>
          <w:tcPr>
            <w:tcW w:type="dxa" w:w="2409"/>
          </w:tcPr>
          <w:p>
            <w:r>
              <w:rPr>
                <w:rFonts w:ascii="맑은 고딕" w:hAnsi="맑은 고딕" w:eastAsia="맑은 고딕"/>
                <w:sz w:val="19"/>
              </w:rPr>
              <w:t>오·남용 급증</w:t>
            </w:r>
          </w:p>
        </w:tc>
        <w:tc>
          <w:tcPr>
            <w:tcW w:type="dxa" w:w="2409"/>
          </w:tcPr>
          <w:p>
            <w:r>
              <w:rPr>
                <w:rFonts w:ascii="맑은 고딕" w:hAnsi="맑은 고딕" w:eastAsia="맑은 고딕"/>
                <w:sz w:val="19"/>
              </w:rPr>
              <w:t>상한 조정은 발주기관 협의로 운영 정책 관리</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Ⅴ-4 위험 관리(AI 담당)</w:t>
            </w:r>
          </w:p>
        </w:tc>
      </w:tr>
      <w:tr>
        <w:trPr>
          <w:cantSplit/>
        </w:trPr>
        <w:tc>
          <w:tcPr>
            <w:tcW w:type="dxa" w:w="2409"/>
          </w:tcPr>
          <w:p>
            <w:r>
              <w:rPr>
                <w:rFonts w:ascii="맑은 고딕" w:hAnsi="맑은 고딕" w:eastAsia="맑은 고딕"/>
                <w:sz w:val="19"/>
              </w:rPr>
              <w:t>이용료 계상</w:t>
            </w:r>
          </w:p>
        </w:tc>
        <w:tc>
          <w:tcPr>
            <w:tcW w:type="dxa" w:w="2409"/>
          </w:tcPr>
          <w:p>
            <w:r>
              <w:rPr>
                <w:rFonts w:ascii="맑은 고딕" w:hAnsi="맑은 고딕" w:eastAsia="맑은 고딕"/>
                <w:sz w:val="19"/>
              </w:rPr>
              <w:t>준공 후 12개월분 사업비 포함</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6(12월 × 80,000원)</w:t>
            </w:r>
          </w:p>
        </w:tc>
      </w:tr>
    </w:tbl>
    <w:p>
      <w:pPr>
        <w:jc w:val="center"/>
      </w:pPr>
      <w:r>
        <w:drawing>
          <wp:inline xmlns:a="http://schemas.openxmlformats.org/drawingml/2006/main" xmlns:pic="http://schemas.openxmlformats.org/drawingml/2006/picture">
            <wp:extent cx="5580000" cy="5362031"/>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580000" cy="5362031"/>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r>
        <w:t>· 공지사항 등록·게시와 이용안내 정적 페이지를 제공하고, 개인정보·저작권 유의 기준을 상시 게시한다(SFR-015).</w:t>
      </w:r>
    </w:p>
    <w:p>
      <w:pPr>
        <w:pStyle w:val="Note"/>
      </w:pPr>
      <w:r>
        <w:t>적용 기술: 대시보드 집계 + 검색 로그 파이프라인</w:t>
      </w:r>
    </w:p>
    <w:p>
      <w:pPr>
        <w:pStyle w:val="Caption2"/>
        <w:keepNext/>
        <w:keepLines/>
        <w:jc w:val="center"/>
      </w:pPr>
      <w:r>
        <w:t>[표 C-2]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SFR-013</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SFR-014</w:t>
            </w:r>
          </w:p>
        </w:tc>
        <w:tc>
          <w:tcPr>
            <w:tcW w:type="dxa" w:w="3212"/>
          </w:tcPr>
          <w:p>
            <w:r>
              <w:rPr>
                <w:rFonts w:ascii="맑은 고딕" w:hAnsi="맑은 고딕" w:eastAsia="맑은 고딕"/>
                <w:sz w:val="19"/>
              </w:rPr>
              <w:t>Ⅲ-2 나·마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ECR-001</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SER-003</w:t>
            </w:r>
          </w:p>
        </w:tc>
        <w:tc>
          <w:tcPr>
            <w:tcW w:type="dxa" w:w="3212"/>
          </w:tcPr>
          <w:p>
            <w:r>
              <w:rPr>
                <w:rFonts w:ascii="맑은 고딕" w:hAnsi="맑은 고딕" w:eastAsia="맑은 고딕"/>
                <w:sz w:val="19"/>
              </w:rPr>
              <w:t>Ⅲ-2 다, Ⅲ-5, Ⅳ장</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QUR-003</w:t>
            </w:r>
          </w:p>
        </w:tc>
        <w:tc>
          <w:tcPr>
            <w:tcW w:type="dxa" w:w="3212"/>
          </w:tcPr>
          <w:p>
            <w:r>
              <w:rPr>
                <w:rFonts w:ascii="맑은 고딕" w:hAnsi="맑은 고딕" w:eastAsia="맑은 고딕"/>
                <w:sz w:val="19"/>
              </w:rPr>
              <w:t>Ⅲ-2 나, Ⅳ장</w:t>
            </w:r>
          </w:p>
        </w:tc>
        <w:tc>
          <w:tcPr>
            <w:tcW w:type="dxa" w:w="3214"/>
          </w:tcPr>
          <w:p>
            <w:r>
              <w:rPr>
                <w:rFonts w:ascii="맑은 고딕" w:hAnsi="맑은 고딕" w:eastAsia="맑은 고딕"/>
                <w:sz w:val="19"/>
              </w:rPr>
              <w:t>[그림 8]·[그림 10]</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PSR-002</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r>
        <w:trPr>
          <w:cantSplit/>
        </w:trPr>
        <w:tc>
          <w:tcPr>
            <w:tcW w:type="dxa" w:w="3212"/>
          </w:tcPr>
          <w:p>
            <w:r>
              <w:rPr>
                <w:rFonts w:ascii="맑은 고딕" w:hAnsi="맑은 고딕" w:eastAsia="맑은 고딕"/>
                <w:sz w:val="19"/>
              </w:rPr>
              <w:t>PMR-002</w:t>
            </w:r>
          </w:p>
        </w:tc>
        <w:tc>
          <w:tcPr>
            <w:tcW w:type="dxa" w:w="3212"/>
          </w:tcPr>
          <w:p>
            <w:r>
              <w:rPr>
                <w:rFonts w:ascii="맑은 고딕" w:hAnsi="맑은 고딕" w:eastAsia="맑은 고딕"/>
                <w:sz w:val="19"/>
              </w:rPr>
              <w:t>Ⅵ-6</w:t>
            </w:r>
          </w:p>
        </w:tc>
        <w:tc>
          <w:tcPr>
            <w:tcW w:type="dxa" w:w="3214"/>
          </w:tcPr>
          <w:p>
            <w:r>
              <w:rPr>
                <w:rFonts w:ascii="맑은 고딕" w:hAnsi="맑은 고딕" w:eastAsia="맑은 고딕"/>
                <w:sz w:val="19"/>
              </w:rPr>
              <w:t>—</w:t>
            </w:r>
          </w:p>
        </w:tc>
      </w:tr>
    </w:tbl>
    <w:p>
      <w:pPr>
        <w:jc w:val="center"/>
      </w:pPr>
      <w:r>
        <w:drawing>
          <wp:inline xmlns:a="http://schemas.openxmlformats.org/drawingml/2006/main" xmlns:pic="http://schemas.openxmlformats.org/drawingml/2006/picture">
            <wp:extent cx="5580000" cy="575437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580000" cy="575437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069100"/>
            <wp:docPr id="17" name="Picture 17" descr="infra-server-5.jpg"/>
            <wp:cNvGraphicFramePr>
              <a:graphicFrameLocks noChangeAspect="1"/>
            </wp:cNvGraphicFramePr>
            <a:graphic>
              <a:graphicData uri="http://schemas.openxmlformats.org/drawingml/2006/picture">
                <pic:pic>
                  <pic:nvPicPr>
                    <pic:cNvPr id="0" name="infra-server-5.jpg"/>
                    <pic:cNvPicPr/>
                  </pic:nvPicPr>
                  <pic:blipFill>
                    <a:blip r:embed="rId26"/>
                    <a:stretch>
                      <a:fillRect/>
                    </a:stretch>
                  </pic:blipFill>
                  <pic:spPr>
                    <a:xfrm>
                      <a:off x="0" y="0"/>
                      <a:ext cx="3960000" cy="2069100"/>
                    </a:xfrm>
                    <a:prstGeom prst="rect"/>
                  </pic:spPr>
                </pic:pic>
              </a:graphicData>
            </a:graphic>
          </wp:inline>
        </w:drawing>
      </w:r>
    </w:p>
    <w:p>
      <w:pPr>
        <w:pStyle w:val="Caption2"/>
        <w:keepLines/>
        <w:jc w:val="center"/>
      </w:pPr>
      <w:r>
        <w:t>[사진 4] 외부 AI API 는 체험 게이트웨이 뒤에 두어 키·이용량·필터링을 서버에서 통제한다 (SIR-001 · ECR-001) (참고 이미지)</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8" name="Picture 18" descr="s-resp-portal.png"/>
            <wp:cNvGraphicFramePr>
              <a:graphicFrameLocks noChangeAspect="1"/>
            </wp:cNvGraphicFramePr>
            <a:graphic>
              <a:graphicData uri="http://schemas.openxmlformats.org/drawingml/2006/picture">
                <pic:pic>
                  <pic:nvPicPr>
                    <pic:cNvPr id="0" name="s-resp-portal.png"/>
                    <pic:cNvPicPr/>
                  </pic:nvPicPr>
                  <pic:blipFill>
                    <a:blip r:embed="rId27"/>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체험 기능까지 설치 없이 모든 기기에서 동작한다 (QUR-002 · SFR-006)</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19" name="Picture 19" descr="security-5.jpg"/>
            <wp:cNvGraphicFramePr>
              <a:graphicFrameLocks noChangeAspect="1"/>
            </wp:cNvGraphicFramePr>
            <a:graphic>
              <a:graphicData uri="http://schemas.openxmlformats.org/drawingml/2006/picture">
                <pic:pic>
                  <pic:nvPicPr>
                    <pic:cNvPr id="0" name="security-5.jpg"/>
                    <pic:cNvPicPr/>
                  </pic:nvPicPr>
                  <pic:blipFill>
                    <a:blip r:embed="rId28"/>
                    <a:stretch>
                      <a:fillRect/>
                    </a:stretch>
                  </pic:blipFill>
                  <pic:spPr>
                    <a:xfrm>
                      <a:off x="0" y="0"/>
                      <a:ext cx="3960000" cy="2640825"/>
                    </a:xfrm>
                    <a:prstGeom prst="rect"/>
                  </pic:spPr>
                </pic:pic>
              </a:graphicData>
            </a:graphic>
          </wp:inline>
        </w:drawing>
      </w:r>
    </w:p>
    <w:p>
      <w:pPr>
        <w:pStyle w:val="Caption2"/>
        <w:keepLines/>
        <w:jc w:val="center"/>
      </w:pPr>
      <w:r>
        <w:t>[사진 5] 외부 전송 통제 — 전송 전 성명·연락처·주민등록번호 형식을 필터링한다 (SER-001 · SER-003) (참고 이미지)</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pPr>
        <w:keepNext/>
        <w:jc w:val="center"/>
      </w:pPr>
      <w:r>
        <w:drawing>
          <wp:inline xmlns:a="http://schemas.openxmlformats.org/drawingml/2006/main" xmlns:pic="http://schemas.openxmlformats.org/drawingml/2006/picture">
            <wp:extent cx="3960000" cy="2640825"/>
            <wp:docPr id="20" name="Picture 20" descr="collaboration-4.jpg"/>
            <wp:cNvGraphicFramePr>
              <a:graphicFrameLocks noChangeAspect="1"/>
            </wp:cNvGraphicFramePr>
            <a:graphic>
              <a:graphicData uri="http://schemas.openxmlformats.org/drawingml/2006/picture">
                <pic:pic>
                  <pic:nvPicPr>
                    <pic:cNvPr id="0" name="collaboration-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스킬 40종 전량이 상용 생성형 AI 3종 이상 검증과 현직 교원 5인 이상 검수를 거친다 (Ⅲ-6) (참고 이미지)</w:t>
      </w:r>
    </w:p>
    <w:p>
      <w:pPr>
        <w:pStyle w:val="Caption2"/>
        <w:keepNext/>
        <w:keepLines/>
        <w:jc w:val="center"/>
      </w:pPr>
      <w:r>
        <w:t>[표 C-5]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검수·제출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10종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9종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특수교육·상담</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학교 실무 기타</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40종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서비스별 차이 기록</w:t>
            </w:r>
          </w:p>
        </w:tc>
        <w:tc>
          <w:tcPr>
            <w:tcW w:type="dxa" w:w="1930"/>
          </w:tcPr>
          <w:p>
            <w:pPr>
              <w:keepNext/>
            </w:pPr>
            <w:r>
              <w:rPr>
                <w:rFonts w:ascii="맑은 고딕" w:hAnsi="맑은 고딕" w:eastAsia="맑은 고딕"/>
                <w:sz w:val="19"/>
              </w:rPr>
              <w:t>검수 의견·반영 결과 문서 제출</w:t>
            </w:r>
          </w:p>
        </w:tc>
      </w:tr>
    </w:tbl>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keepNext/>
        <w:jc w:val="center"/>
      </w:pPr>
      <w:r>
        <w:drawing>
          <wp:inline xmlns:a="http://schemas.openxmlformats.org/drawingml/2006/main" xmlns:pic="http://schemas.openxmlformats.org/drawingml/2006/picture">
            <wp:extent cx="5580000" cy="6103125"/>
            <wp:docPr id="21" name="Picture 21" descr="s-a11y-portal.png"/>
            <wp:cNvGraphicFramePr>
              <a:graphicFrameLocks noChangeAspect="1"/>
            </wp:cNvGraphicFramePr>
            <a:graphic>
              <a:graphicData uri="http://schemas.openxmlformats.org/drawingml/2006/picture">
                <pic:pic>
                  <pic:nvPicPr>
                    <pic:cNvPr id="0" name="s-a11y-portal.png"/>
                    <pic:cNvPicPr/>
                  </pic:nvPicPr>
                  <pic:blipFill>
                    <a:blip r:embed="rId30"/>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자가진단과 검색 품질 평가 결과서를 함께 제출한다 (QUR-001 · QUR-003)</w:t>
      </w:r>
    </w:p>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C-1]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10개 이상, 설문 100명·인터뷰 10회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28개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메인 3안 이상 제시 후 승인</w:t>
            </w:r>
          </w:p>
        </w:tc>
      </w:tr>
      <w:tr>
        <w:trPr>
          <w:cantSplit/>
        </w:trPr>
        <w:tc>
          <w:tcPr>
            <w:tcW w:type="dxa" w:w="2409"/>
          </w:tcPr>
          <w:p>
            <w:r>
              <w:rPr>
                <w:rFonts w:ascii="맑은 고딕" w:hAnsi="맑은 고딕" w:eastAsia="맑은 고딕"/>
                <w:sz w:val="19"/>
              </w:rPr>
              <w:t>3단계 개발(1차)</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6~11주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개발(2차)</w:t>
            </w:r>
          </w:p>
        </w:tc>
        <w:tc>
          <w:tcPr>
            <w:tcW w:type="dxa" w:w="2409"/>
          </w:tcPr>
          <w:p>
            <w:r>
              <w:rPr>
                <w:rFonts w:ascii="맑은 고딕" w:hAnsi="맑은 고딕" w:eastAsia="맑은 고딕"/>
                <w:sz w:val="19"/>
              </w:rPr>
              <w:t>검색 품질 평가 결과서</w:t>
            </w:r>
          </w:p>
        </w:tc>
        <w:tc>
          <w:tcPr>
            <w:tcW w:type="dxa" w:w="2409"/>
          </w:tcPr>
          <w:p>
            <w:r>
              <w:rPr>
                <w:rFonts w:ascii="맑은 고딕" w:hAnsi="맑은 고딕" w:eastAsia="맑은 고딕"/>
                <w:sz w:val="19"/>
              </w:rPr>
              <w:t>13주차</w:t>
            </w:r>
          </w:p>
        </w:tc>
        <w:tc>
          <w:tcPr>
            <w:tcW w:type="dxa" w:w="2411"/>
          </w:tcPr>
          <w:p>
            <w:r>
              <w:rPr>
                <w:rFonts w:ascii="맑은 고딕" w:hAnsi="맑은 고딕" w:eastAsia="맑은 고딕"/>
                <w:sz w:val="19"/>
              </w:rPr>
              <w:t>대표 질의 30건 평가(QUR-003)</w:t>
            </w:r>
          </w:p>
        </w:tc>
      </w:tr>
      <w:tr>
        <w:trPr>
          <w:cantSplit/>
        </w:trPr>
        <w:tc>
          <w:tcPr>
            <w:tcW w:type="dxa" w:w="2409"/>
          </w:tcPr>
          <w:p>
            <w:r>
              <w:rPr>
                <w:rFonts w:ascii="맑은 고딕" w:hAnsi="맑은 고딕" w:eastAsia="맑은 고딕"/>
                <w:sz w:val="19"/>
              </w:rPr>
              <w:t>5단계 콘텐츠 제작</w:t>
            </w:r>
          </w:p>
        </w:tc>
        <w:tc>
          <w:tcPr>
            <w:tcW w:type="dxa" w:w="2409"/>
          </w:tcPr>
          <w:p>
            <w:r>
              <w:rPr>
                <w:rFonts w:ascii="맑은 고딕" w:hAnsi="맑은 고딕" w:eastAsia="맑은 고딕"/>
                <w:sz w:val="19"/>
              </w:rPr>
              <w:t>스킬 40종 원본·검수 의견 반영 결과</w:t>
            </w:r>
          </w:p>
        </w:tc>
        <w:tc>
          <w:tcPr>
            <w:tcW w:type="dxa" w:w="2409"/>
          </w:tcPr>
          <w:p>
            <w:r>
              <w:rPr>
                <w:rFonts w:ascii="맑은 고딕" w:hAnsi="맑은 고딕" w:eastAsia="맑은 고딕"/>
                <w:sz w:val="19"/>
              </w:rPr>
              <w:t>4~12주</w:t>
            </w:r>
          </w:p>
        </w:tc>
        <w:tc>
          <w:tcPr>
            <w:tcW w:type="dxa" w:w="2411"/>
          </w:tcPr>
          <w:p>
            <w:r>
              <w:rPr>
                <w:rFonts w:ascii="맑은 고딕" w:hAnsi="맑은 고딕" w:eastAsia="맑은 고딕"/>
                <w:sz w:val="19"/>
              </w:rPr>
              <w:t>상용 AI 3종 이상 확인, 교원 5인 이상 검수</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KWCAG 2.2 33개 항목, 체험 안전 시나리오</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과정계획서·차시별 지도안·교재</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직무연수 15시간 1기수 운영(PSR-001)</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안내 영상 5편(자막 포함)</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포털 게시 완료(PSR-002)</w:t>
            </w:r>
          </w:p>
        </w:tc>
      </w:tr>
      <w:tr>
        <w:trPr>
          <w:cantSplit/>
        </w:trPr>
        <w:tc>
          <w:tcPr>
            <w:tcW w:type="dxa" w:w="2409"/>
          </w:tcPr>
          <w:p>
            <w:r>
              <w:rPr>
                <w:rFonts w:ascii="맑은 고딕" w:hAnsi="맑은 고딕" w:eastAsia="맑은 고딕"/>
                <w:sz w:val="19"/>
              </w:rPr>
              <w:t>8단계 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16주</w:t>
            </w:r>
          </w:p>
        </w:tc>
        <w:tc>
          <w:tcPr>
            <w:tcW w:type="dxa" w:w="2411"/>
          </w:tcPr>
          <w:p>
            <w:r>
              <w:rPr>
                <w:rFonts w:ascii="맑은 고딕" w:hAnsi="맑은 고딕" w:eastAsia="맑은 고딕"/>
                <w:sz w:val="19"/>
              </w:rPr>
              <w:t>관리자 교육 6시간 이상 실시</w:t>
            </w:r>
          </w:p>
        </w:tc>
      </w:tr>
      <w:tr>
        <w:trPr>
          <w:cantSplit/>
        </w:trPr>
        <w:tc>
          <w:tcPr>
            <w:tcW w:type="dxa" w:w="2409"/>
          </w:tcPr>
          <w:p>
            <w:r>
              <w:rPr>
                <w:rFonts w:ascii="맑은 고딕" w:hAnsi="맑은 고딕" w:eastAsia="맑은 고딕"/>
                <w:sz w:val="19"/>
              </w:rPr>
              <w:t>운영 유지관리</w:t>
            </w:r>
          </w:p>
        </w:tc>
        <w:tc>
          <w:tcPr>
            <w:tcW w:type="dxa" w:w="2409"/>
          </w:tcPr>
          <w:p>
            <w:r>
              <w:rPr>
                <w:rFonts w:ascii="맑은 고딕" w:hAnsi="맑은 고딕" w:eastAsia="맑은 고딕"/>
                <w:sz w:val="19"/>
              </w:rPr>
              <w:t>월간 운영 현황 보고서</w:t>
            </w:r>
          </w:p>
        </w:tc>
        <w:tc>
          <w:tcPr>
            <w:tcW w:type="dxa" w:w="2409"/>
          </w:tcPr>
          <w:p>
            <w:r>
              <w:rPr>
                <w:rFonts w:ascii="맑은 고딕" w:hAnsi="맑은 고딕" w:eastAsia="맑은 고딕"/>
                <w:sz w:val="19"/>
              </w:rPr>
              <w:t>준공 후 12개월</w:t>
            </w:r>
          </w:p>
        </w:tc>
        <w:tc>
          <w:tcPr>
            <w:tcW w:type="dxa" w:w="2411"/>
          </w:tcPr>
          <w:p>
            <w:r>
              <w:rPr>
                <w:rFonts w:ascii="맑은 고딕" w:hAnsi="맑은 고딕" w:eastAsia="맑은 고딕"/>
                <w:sz w:val="19"/>
              </w:rPr>
              <w:t>월 1회 보고, 분기 1회 점검회의(PMR-002)</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2" name="Picture 22" descr="meeting-2.jpg"/>
            <wp:cNvGraphicFramePr>
              <a:graphicFrameLocks noChangeAspect="1"/>
            </wp:cNvGraphicFramePr>
            <a:graphic>
              <a:graphicData uri="http://schemas.openxmlformats.org/drawingml/2006/picture">
                <pic:pic>
                  <pic:nvPicPr>
                    <pic:cNvPr id="0" name="meeting-2.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7] 6개 역할이 하나의 팀으로 움직이는 수행 체계 (Ⅴ-2) (참고 이미지)</w:t>
      </w:r>
    </w:p>
    <w:p>
      <w:pPr>
        <w:pStyle w:val="Caption2"/>
        <w:keepNext/>
        <w:keepLines/>
        <w:jc w:val="center"/>
      </w:pPr>
      <w:r>
        <w:t>[표 C-4]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1~2단계 분석·설계</w:t>
            </w:r>
          </w:p>
        </w:tc>
        <w:tc>
          <w:tcPr>
            <w:tcW w:type="dxa" w:w="1606"/>
            <w:shd w:val="clear" w:fill="1F3A5F"/>
          </w:tcPr>
          <w:p>
            <w:r>
              <w:rPr>
                <w:rFonts w:ascii="맑은 고딕" w:hAnsi="맑은 고딕" w:eastAsia="맑은 고딕"/>
                <w:b/>
                <w:color w:val="FFFFFF"/>
                <w:sz w:val="19"/>
              </w:rPr>
              <w:t>3단계 개발(1차)</w:t>
            </w:r>
          </w:p>
        </w:tc>
        <w:tc>
          <w:tcPr>
            <w:tcW w:type="dxa" w:w="1606"/>
            <w:shd w:val="clear" w:fill="1F3A5F"/>
          </w:tcPr>
          <w:p>
            <w:r>
              <w:rPr>
                <w:rFonts w:ascii="맑은 고딕" w:hAnsi="맑은 고딕" w:eastAsia="맑은 고딕"/>
                <w:b/>
                <w:color w:val="FFFFFF"/>
                <w:sz w:val="19"/>
              </w:rPr>
              <w:t>4단계 개발(2차)</w:t>
            </w:r>
          </w:p>
        </w:tc>
        <w:tc>
          <w:tcPr>
            <w:tcW w:type="dxa" w:w="1606"/>
            <w:shd w:val="clear" w:fill="1F3A5F"/>
          </w:tcPr>
          <w:p>
            <w:r>
              <w:rPr>
                <w:rFonts w:ascii="맑은 고딕" w:hAnsi="맑은 고딕" w:eastAsia="맑은 고딕"/>
                <w:b/>
                <w:color w:val="FFFFFF"/>
                <w:sz w:val="19"/>
              </w:rPr>
              <w:t>5단계 콘텐츠</w:t>
            </w:r>
          </w:p>
        </w:tc>
        <w:tc>
          <w:tcPr>
            <w:tcW w:type="dxa" w:w="1608"/>
            <w:shd w:val="clear" w:fill="1F3A5F"/>
          </w:tcPr>
          <w:p>
            <w:r>
              <w:rPr>
                <w:rFonts w:ascii="맑은 고딕" w:hAnsi="맑은 고딕" w:eastAsia="맑은 고딕"/>
                <w:b/>
                <w:color w:val="FFFFFF"/>
                <w:sz w:val="19"/>
              </w:rPr>
              <w:t>6~8단계 시험·연수·준공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AI 기능 담당</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p>
      <w:pPr>
        <w:keepNext/>
        <w:jc w:val="center"/>
      </w:pPr>
      <w:r>
        <w:drawing>
          <wp:inline xmlns:a="http://schemas.openxmlformats.org/drawingml/2006/main" xmlns:pic="http://schemas.openxmlformats.org/drawingml/2006/picture">
            <wp:extent cx="3960000" cy="2640825"/>
            <wp:docPr id="23" name="Picture 23"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2"/>
                    <a:stretch>
                      <a:fillRect/>
                    </a:stretch>
                  </pic:blipFill>
                  <pic:spPr>
                    <a:xfrm>
                      <a:off x="0" y="0"/>
                      <a:ext cx="3960000" cy="2640825"/>
                    </a:xfrm>
                    <a:prstGeom prst="rect"/>
                  </pic:spPr>
                </pic:pic>
              </a:graphicData>
            </a:graphic>
          </wp:inline>
        </w:drawing>
      </w:r>
    </w:p>
    <w:p>
      <w:pPr>
        <w:pStyle w:val="Caption2"/>
        <w:keepLines/>
        <w:jc w:val="center"/>
      </w:pPr>
      <w:r>
        <w:t>[사진 8] 15시간 직무연수 1기수 — 과정계획서·차시별 지도안·교재를 제작해 제출한다 (PSR-001) (참고 이미지)</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keepNext/>
        <w:jc w:val="center"/>
      </w:pPr>
      <w:r>
        <w:drawing>
          <wp:inline xmlns:a="http://schemas.openxmlformats.org/drawingml/2006/main" xmlns:pic="http://schemas.openxmlformats.org/drawingml/2006/picture">
            <wp:extent cx="3960000" cy="2623500"/>
            <wp:docPr id="24" name="Picture 24" descr="collaboration-3.jpg"/>
            <wp:cNvGraphicFramePr>
              <a:graphicFrameLocks noChangeAspect="1"/>
            </wp:cNvGraphicFramePr>
            <a:graphic>
              <a:graphicData uri="http://schemas.openxmlformats.org/drawingml/2006/picture">
                <pic:pic>
                  <pic:nvPicPr>
                    <pic:cNvPr id="0" name="collaboration-3.jpg"/>
                    <pic:cNvPicPr/>
                  </pic:nvPicPr>
                  <pic:blipFill>
                    <a:blip r:embed="rId33"/>
                    <a:stretch>
                      <a:fillRect/>
                    </a:stretch>
                  </pic:blipFill>
                  <pic:spPr>
                    <a:xfrm>
                      <a:off x="0" y="0"/>
                      <a:ext cx="3960000" cy="2623500"/>
                    </a:xfrm>
                    <a:prstGeom prst="rect"/>
                  </pic:spPr>
                </pic:pic>
              </a:graphicData>
            </a:graphic>
          </wp:inline>
        </w:drawing>
      </w:r>
    </w:p>
    <w:p>
      <w:pPr>
        <w:pStyle w:val="Caption2"/>
        <w:keepLines/>
        <w:jc w:val="center"/>
      </w:pPr>
      <w:r>
        <w:t>[사진 9] 11~14차시 '내 업무 스킬 만들기' — 연수 산출물이 포털의 신규 콘텐츠 후보가 되는 순환 구조 (PSR-001) (참고 이미지)</w:t>
      </w:r>
    </w:p>
    <w:p>
      <w:pPr>
        <w:pStyle w:val="Caption2"/>
        <w:keepNext/>
        <w:keepLines/>
        <w:jc w:val="center"/>
      </w:pPr>
      <w:r>
        <w:t>[표 C-6] 직무연수·안내 영상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규모·수량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과정 규모</w:t>
            </w:r>
          </w:p>
        </w:tc>
        <w:tc>
          <w:tcPr>
            <w:tcW w:type="dxa" w:w="2409"/>
          </w:tcPr>
          <w:p>
            <w:r>
              <w:rPr>
                <w:rFonts w:ascii="맑은 고딕" w:hAnsi="맑은 고딕" w:eastAsia="맑은 고딕"/>
                <w:sz w:val="19"/>
              </w:rPr>
              <w:t>직무연수 1기수(30명 내외)</w:t>
            </w:r>
          </w:p>
        </w:tc>
        <w:tc>
          <w:tcPr>
            <w:tcW w:type="dxa" w:w="2409"/>
          </w:tcPr>
          <w:p>
            <w:r>
              <w:rPr>
                <w:rFonts w:ascii="맑은 고딕" w:hAnsi="맑은 고딕" w:eastAsia="맑은 고딕"/>
                <w:sz w:val="19"/>
              </w:rPr>
              <w:t>총 15시간(1학점 상당)</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제출 문서</w:t>
            </w:r>
          </w:p>
        </w:tc>
        <w:tc>
          <w:tcPr>
            <w:tcW w:type="dxa" w:w="2409"/>
          </w:tcPr>
          <w:p>
            <w:r>
              <w:rPr>
                <w:rFonts w:ascii="맑은 고딕" w:hAnsi="맑은 고딕" w:eastAsia="맑은 고딕"/>
                <w:sz w:val="19"/>
              </w:rPr>
              <w:t>과정계획서·차시별 지도안·교재(인쇄·전자)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장소·운영</w:t>
            </w:r>
          </w:p>
        </w:tc>
        <w:tc>
          <w:tcPr>
            <w:tcW w:type="dxa" w:w="2409"/>
          </w:tcPr>
          <w:p>
            <w:r>
              <w:rPr>
                <w:rFonts w:ascii="맑은 고딕" w:hAnsi="맑은 고딕" w:eastAsia="맑은 고딕"/>
                <w:sz w:val="19"/>
              </w:rPr>
              <w:t>장소는 발주기관 제공, 실습환경·강사는 수행사</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학점 인정</w:t>
            </w:r>
          </w:p>
        </w:tc>
        <w:tc>
          <w:tcPr>
            <w:tcW w:type="dxa" w:w="2409"/>
          </w:tcPr>
          <w:p>
            <w:r>
              <w:rPr>
                <w:rFonts w:ascii="맑은 고딕" w:hAnsi="맑은 고딕" w:eastAsia="맑은 고딕"/>
                <w:sz w:val="19"/>
              </w:rPr>
              <w:t>관련 서류 작성 지원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참여자 산출물</w:t>
            </w:r>
          </w:p>
        </w:tc>
        <w:tc>
          <w:tcPr>
            <w:tcW w:type="dxa" w:w="2409"/>
          </w:tcPr>
          <w:p>
            <w:r>
              <w:rPr>
                <w:rFonts w:ascii="맑은 고딕" w:hAnsi="맑은 고딕" w:eastAsia="맑은 고딕"/>
                <w:sz w:val="19"/>
              </w:rPr>
              <w:t>자기 업무 스킬 변형·제작 실습 결과물</w:t>
            </w:r>
          </w:p>
        </w:tc>
        <w:tc>
          <w:tcPr>
            <w:tcW w:type="dxa" w:w="2409"/>
          </w:tcPr>
          <w:p>
            <w:r>
              <w:rPr>
                <w:rFonts w:ascii="맑은 고딕" w:hAnsi="맑은 고딕" w:eastAsia="맑은 고딕"/>
                <w:sz w:val="19"/>
              </w:rPr>
              <w:t>11~14차시 제작, 15차시 발표</w:t>
            </w:r>
          </w:p>
        </w:tc>
        <w:tc>
          <w:tcPr>
            <w:tcW w:type="dxa" w:w="2411"/>
          </w:tcPr>
          <w:p>
            <w:r>
              <w:rPr>
                <w:rFonts w:ascii="맑은 고딕" w:hAnsi="맑은 고딕" w:eastAsia="맑은 고딕"/>
                <w:sz w:val="19"/>
              </w:rPr>
              <w:t>Ⅵ-2 차시표</w:t>
            </w:r>
          </w:p>
        </w:tc>
      </w:tr>
      <w:tr>
        <w:trPr>
          <w:cantSplit/>
        </w:trPr>
        <w:tc>
          <w:tcPr>
            <w:tcW w:type="dxa" w:w="2409"/>
          </w:tcPr>
          <w:p>
            <w:r>
              <w:rPr>
                <w:rFonts w:ascii="맑은 고딕" w:hAnsi="맑은 고딕" w:eastAsia="맑은 고딕"/>
                <w:sz w:val="19"/>
              </w:rPr>
              <w:t>산출물 순환</w:t>
            </w:r>
          </w:p>
        </w:tc>
        <w:tc>
          <w:tcPr>
            <w:tcW w:type="dxa" w:w="2409"/>
          </w:tcPr>
          <w:p>
            <w:r>
              <w:rPr>
                <w:rFonts w:ascii="맑은 고딕" w:hAnsi="맑은 고딕" w:eastAsia="맑은 고딕"/>
                <w:sz w:val="19"/>
              </w:rPr>
              <w:t>제작 스킬의 포털 등록 절차 안내</w:t>
            </w:r>
          </w:p>
        </w:tc>
        <w:tc>
          <w:tcPr>
            <w:tcW w:type="dxa" w:w="2409"/>
          </w:tcPr>
          <w:p>
            <w:r>
              <w:rPr>
                <w:rFonts w:ascii="맑은 고딕" w:hAnsi="맑은 고딕" w:eastAsia="맑은 고딕"/>
                <w:sz w:val="19"/>
              </w:rPr>
              <w:t>15차시</w:t>
            </w:r>
          </w:p>
        </w:tc>
        <w:tc>
          <w:tcPr>
            <w:tcW w:type="dxa" w:w="2411"/>
          </w:tcPr>
          <w:p>
            <w:r>
              <w:rPr>
                <w:rFonts w:ascii="맑은 고딕" w:hAnsi="맑은 고딕" w:eastAsia="맑은 고딕"/>
                <w:sz w:val="19"/>
              </w:rPr>
              <w:t>Ⅵ-2 차시표·Ⅱ-6</w:t>
            </w:r>
          </w:p>
        </w:tc>
      </w:tr>
      <w:tr>
        <w:trPr>
          <w:cantSplit/>
        </w:trPr>
        <w:tc>
          <w:tcPr>
            <w:tcW w:type="dxa" w:w="2409"/>
          </w:tcPr>
          <w:p>
            <w:r>
              <w:rPr>
                <w:rFonts w:ascii="맑은 고딕" w:hAnsi="맑은 고딕" w:eastAsia="맑은 고딕"/>
                <w:sz w:val="19"/>
              </w:rPr>
              <w:t>성과 측정</w:t>
            </w:r>
          </w:p>
        </w:tc>
        <w:tc>
          <w:tcPr>
            <w:tcW w:type="dxa" w:w="2409"/>
          </w:tcPr>
          <w:p>
            <w:r>
              <w:rPr>
                <w:rFonts w:ascii="맑은 고딕" w:hAnsi="맑은 고딕" w:eastAsia="맑은 고딕"/>
                <w:sz w:val="19"/>
              </w:rPr>
              <w:t>만족도 조사, 사전·사후 역량 자기평가</w:t>
            </w:r>
          </w:p>
        </w:tc>
        <w:tc>
          <w:tcPr>
            <w:tcW w:type="dxa" w:w="2409"/>
          </w:tcPr>
          <w:p>
            <w:r>
              <w:rPr>
                <w:rFonts w:ascii="맑은 고딕" w:hAnsi="맑은 고딕" w:eastAsia="맑은 고딕"/>
                <w:sz w:val="19"/>
              </w:rPr>
              <w:t>분석 결과 보고</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안내 영상</w:t>
            </w:r>
          </w:p>
        </w:tc>
        <w:tc>
          <w:tcPr>
            <w:tcW w:type="dxa" w:w="2409"/>
          </w:tcPr>
          <w:p>
            <w:r>
              <w:rPr>
                <w:rFonts w:ascii="맑은 고딕" w:hAnsi="맑은 고딕" w:eastAsia="맑은 고딕"/>
                <w:sz w:val="19"/>
              </w:rPr>
              <w:t>포털 소개/검색·체험/수업 활용/행정 활용/안전 활용</w:t>
            </w:r>
          </w:p>
        </w:tc>
        <w:tc>
          <w:tcPr>
            <w:tcW w:type="dxa" w:w="2409"/>
          </w:tcPr>
          <w:p>
            <w:r>
              <w:rPr>
                <w:rFonts w:ascii="맑은 고딕" w:hAnsi="맑은 고딕" w:eastAsia="맑은 고딕"/>
                <w:sz w:val="19"/>
              </w:rPr>
              <w:t>5편, 편당 5분 내외, 자막 포함</w:t>
            </w:r>
          </w:p>
        </w:tc>
        <w:tc>
          <w:tcPr>
            <w:tcW w:type="dxa" w:w="2411"/>
          </w:tcPr>
          <w:p>
            <w:r>
              <w:rPr>
                <w:rFonts w:ascii="맑은 고딕" w:hAnsi="맑은 고딕" w:eastAsia="맑은 고딕"/>
                <w:sz w:val="19"/>
              </w:rPr>
              <w:t>Ⅵ-2(PSR-002)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15시간 × 140,000원 / 5편 × 320,000원</w:t>
            </w:r>
          </w:p>
        </w:tc>
        <w:tc>
          <w:tcPr>
            <w:tcW w:type="dxa" w:w="2409"/>
          </w:tcPr>
          <w:p>
            <w:r>
              <w:rPr>
                <w:rFonts w:ascii="맑은 고딕" w:hAnsi="맑은 고딕" w:eastAsia="맑은 고딕"/>
                <w:sz w:val="19"/>
              </w:rPr>
              <w:t>2,100,000원 / 1,600,000원</w:t>
            </w:r>
          </w:p>
        </w:tc>
        <w:tc>
          <w:tcPr>
            <w:tcW w:type="dxa" w:w="2411"/>
          </w:tcPr>
          <w:p>
            <w:r>
              <w:rPr>
                <w:rFonts w:ascii="맑은 고딕" w:hAnsi="맑은 고딕" w:eastAsia="맑은 고딕"/>
                <w:sz w:val="19"/>
              </w:rPr>
              <w:t>Ⅶ-1 연번 3·4</w:t>
            </w:r>
          </w:p>
        </w:tc>
      </w:tr>
    </w:tbl>
    <w:p>
      <w:pPr>
        <w:pStyle w:val="Note"/>
      </w:pPr>
      <w:r>
        <w:t>안내 영상 5편(편당 5분 내외, 자막 포함)을 제작해 포털에 게시합니다(PSR-002): 포털 소개 / 검색·체험 / 수업 활용 / 행정 활용 / 안전 활용 기준.</w:t>
      </w:r>
    </w:p>
    <w:p>
      <w:pPr>
        <w:keepNext/>
        <w:jc w:val="center"/>
      </w:pPr>
      <w:r>
        <w:drawing>
          <wp:inline xmlns:a="http://schemas.openxmlformats.org/drawingml/2006/main" xmlns:pic="http://schemas.openxmlformats.org/drawingml/2006/picture">
            <wp:extent cx="3960000" cy="2643300"/>
            <wp:docPr id="25" name="Picture 25" descr="video-recording-3.jpg"/>
            <wp:cNvGraphicFramePr>
              <a:graphicFrameLocks noChangeAspect="1"/>
            </wp:cNvGraphicFramePr>
            <a:graphic>
              <a:graphicData uri="http://schemas.openxmlformats.org/drawingml/2006/picture">
                <pic:pic>
                  <pic:nvPicPr>
                    <pic:cNvPr id="0" name="video-recording-3.jpg"/>
                    <pic:cNvPicPr/>
                  </pic:nvPicPr>
                  <pic:blipFill>
                    <a:blip r:embed="rId34"/>
                    <a:stretch>
                      <a:fillRect/>
                    </a:stretch>
                  </pic:blipFill>
                  <pic:spPr>
                    <a:xfrm>
                      <a:off x="0" y="0"/>
                      <a:ext cx="3960000" cy="2643300"/>
                    </a:xfrm>
                    <a:prstGeom prst="rect"/>
                  </pic:spPr>
                </pic:pic>
              </a:graphicData>
            </a:graphic>
          </wp:inline>
        </w:drawing>
      </w:r>
    </w:p>
    <w:p>
      <w:pPr>
        <w:pStyle w:val="Caption2"/>
        <w:keepLines/>
        <w:jc w:val="center"/>
      </w:pPr>
      <w:r>
        <w:t>[사진 10] 안내 영상 5편 — 포털 소개 / 검색·체험 / 수업 활용 / 행정 활용 / 안전 활용 기준 (PSR-002) (참고 이미지)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C-7] 개통 후 12개월 운영 항목 ↔ 산출내역 대조표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운영 항목</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계상 위치</w:t>
            </w:r>
          </w:p>
        </w:tc>
        <w:tc>
          <w:tcPr>
            <w:tcW w:type="dxa" w:w="2411"/>
            <w:shd w:val="clear" w:fill="1F3A5F"/>
          </w:tcPr>
          <w:p>
            <w:r>
              <w:rPr>
                <w:rFonts w:ascii="맑은 고딕" w:hAnsi="맑은 고딕" w:eastAsia="맑은 고딕"/>
                <w:b/>
                <w:color w:val="FFFFFF"/>
                <w:sz w:val="19"/>
              </w:rPr>
              <w:t>금액</w:t>
            </w:r>
          </w:p>
        </w:tc>
      </w:tr>
      <w:tr>
        <w:trPr>
          <w:cantSplit/>
        </w:trPr>
        <w:tc>
          <w:tcPr>
            <w:tcW w:type="dxa" w:w="2409"/>
          </w:tcPr>
          <w:p>
            <w:r>
              <w:rPr>
                <w:rFonts w:ascii="맑은 고딕" w:hAnsi="맑은 고딕" w:eastAsia="맑은 고딕"/>
                <w:sz w:val="19"/>
              </w:rPr>
              <w:t>클라우드 운영환경</w:t>
            </w:r>
          </w:p>
        </w:tc>
        <w:tc>
          <w:tcPr>
            <w:tcW w:type="dxa" w:w="2409"/>
          </w:tcPr>
          <w:p>
            <w:r>
              <w:rPr>
                <w:rFonts w:ascii="맑은 고딕" w:hAnsi="맑은 고딕" w:eastAsia="맑은 고딕"/>
                <w:sz w:val="19"/>
              </w:rPr>
              <w:t>준공 후 12개월, 도메인·SSL·백업 포함</w:t>
            </w:r>
          </w:p>
        </w:tc>
        <w:tc>
          <w:tcPr>
            <w:tcW w:type="dxa" w:w="2409"/>
          </w:tcPr>
          <w:p>
            <w:r>
              <w:rPr>
                <w:rFonts w:ascii="맑은 고딕" w:hAnsi="맑은 고딕" w:eastAsia="맑은 고딕"/>
                <w:sz w:val="19"/>
              </w:rPr>
              <w:t>Ⅶ-1 연번 5(12월 × 150,000원)</w:t>
            </w:r>
          </w:p>
        </w:tc>
        <w:tc>
          <w:tcPr>
            <w:tcW w:type="dxa" w:w="2411"/>
          </w:tcPr>
          <w:p>
            <w:r>
              <w:rPr>
                <w:rFonts w:ascii="맑은 고딕" w:hAnsi="맑은 고딕" w:eastAsia="맑은 고딕"/>
                <w:sz w:val="19"/>
              </w:rPr>
              <w:t>1,800,000원</w:t>
            </w:r>
          </w:p>
        </w:tc>
      </w:tr>
      <w:tr>
        <w:trPr>
          <w:cantSplit/>
        </w:trPr>
        <w:tc>
          <w:tcPr>
            <w:tcW w:type="dxa" w:w="2409"/>
          </w:tcPr>
          <w:p>
            <w:r>
              <w:rPr>
                <w:rFonts w:ascii="맑은 고딕" w:hAnsi="맑은 고딕" w:eastAsia="맑은 고딕"/>
                <w:sz w:val="19"/>
              </w:rPr>
              <w:t>외부 AI 서비스 이용료</w:t>
            </w:r>
          </w:p>
        </w:tc>
        <w:tc>
          <w:tcPr>
            <w:tcW w:type="dxa" w:w="2409"/>
          </w:tcPr>
          <w:p>
            <w:r>
              <w:rPr>
                <w:rFonts w:ascii="맑은 고딕" w:hAnsi="맑은 고딕" w:eastAsia="맑은 고딕"/>
                <w:sz w:val="19"/>
              </w:rPr>
              <w:t>체험·의미검색, 준공 후 12개월</w:t>
            </w:r>
          </w:p>
        </w:tc>
        <w:tc>
          <w:tcPr>
            <w:tcW w:type="dxa" w:w="2409"/>
          </w:tcPr>
          <w:p>
            <w:r>
              <w:rPr>
                <w:rFonts w:ascii="맑은 고딕" w:hAnsi="맑은 고딕" w:eastAsia="맑은 고딕"/>
                <w:sz w:val="19"/>
              </w:rPr>
              <w:t>Ⅶ-1 연번 6(12월 × 80,000원)</w:t>
            </w:r>
          </w:p>
        </w:tc>
        <w:tc>
          <w:tcPr>
            <w:tcW w:type="dxa" w:w="2411"/>
          </w:tcPr>
          <w:p>
            <w:r>
              <w:rPr>
                <w:rFonts w:ascii="맑은 고딕" w:hAnsi="맑은 고딕" w:eastAsia="맑은 고딕"/>
                <w:sz w:val="19"/>
              </w:rPr>
              <w:t>960,000원</w:t>
            </w:r>
          </w:p>
        </w:tc>
      </w:tr>
      <w:tr>
        <w:trPr>
          <w:cantSplit/>
        </w:trPr>
        <w:tc>
          <w:tcPr>
            <w:tcW w:type="dxa" w:w="2409"/>
          </w:tcPr>
          <w:p>
            <w:r>
              <w:rPr>
                <w:rFonts w:ascii="맑은 고딕" w:hAnsi="맑은 고딕" w:eastAsia="맑은 고딕"/>
                <w:sz w:val="19"/>
              </w:rPr>
              <w:t>도메인 등록</w:t>
            </w:r>
          </w:p>
        </w:tc>
        <w:tc>
          <w:tcPr>
            <w:tcW w:type="dxa" w:w="2409"/>
          </w:tcPr>
          <w:p>
            <w:r>
              <w:rPr>
                <w:rFonts w:ascii="맑은 고딕" w:hAnsi="맑은 고딕" w:eastAsia="맑은 고딕"/>
                <w:sz w:val="19"/>
              </w:rPr>
              <w:t>1년</w:t>
            </w:r>
          </w:p>
        </w:tc>
        <w:tc>
          <w:tcPr>
            <w:tcW w:type="dxa" w:w="2409"/>
          </w:tcPr>
          <w:p>
            <w:r>
              <w:rPr>
                <w:rFonts w:ascii="맑은 고딕" w:hAnsi="맑은 고딕" w:eastAsia="맑은 고딕"/>
                <w:sz w:val="19"/>
              </w:rPr>
              <w:t>Ⅶ-1 연번 7</w:t>
            </w:r>
          </w:p>
        </w:tc>
        <w:tc>
          <w:tcPr>
            <w:tcW w:type="dxa" w:w="2411"/>
          </w:tcPr>
          <w:p>
            <w:r>
              <w:rPr>
                <w:rFonts w:ascii="맑은 고딕" w:hAnsi="맑은 고딕" w:eastAsia="맑은 고딕"/>
                <w:sz w:val="19"/>
              </w:rPr>
              <w:t>50,000원</w:t>
            </w:r>
          </w:p>
        </w:tc>
      </w:tr>
      <w:tr>
        <w:trPr>
          <w:cantSplit/>
        </w:trPr>
        <w:tc>
          <w:tcPr>
            <w:tcW w:type="dxa" w:w="2409"/>
          </w:tcPr>
          <w:p>
            <w:r>
              <w:rPr>
                <w:rFonts w:ascii="맑은 고딕" w:hAnsi="맑은 고딕" w:eastAsia="맑은 고딕"/>
                <w:sz w:val="19"/>
              </w:rPr>
              <w:t>유지관리 기간</w:t>
            </w:r>
          </w:p>
        </w:tc>
        <w:tc>
          <w:tcPr>
            <w:tcW w:type="dxa" w:w="2409"/>
          </w:tcPr>
          <w:p>
            <w:r>
              <w:rPr>
                <w:rFonts w:ascii="맑은 고딕" w:hAnsi="맑은 고딕" w:eastAsia="맑은 고딕"/>
                <w:sz w:val="19"/>
              </w:rPr>
              <w:t>준공검사일로부터 12개월</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장애 대응</w:t>
            </w:r>
          </w:p>
        </w:tc>
        <w:tc>
          <w:tcPr>
            <w:tcW w:type="dxa" w:w="2409"/>
          </w:tcPr>
          <w:p>
            <w:r>
              <w:rPr>
                <w:rFonts w:ascii="맑은 고딕" w:hAnsi="맑은 고딕" w:eastAsia="맑은 고딕"/>
                <w:sz w:val="19"/>
              </w:rPr>
              <w:t>통보 후 4시간 이내 접수, 24시간 이내 1차 조치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운영 보고</w:t>
            </w:r>
          </w:p>
        </w:tc>
        <w:tc>
          <w:tcPr>
            <w:tcW w:type="dxa" w:w="2409"/>
          </w:tcPr>
          <w:p>
            <w:r>
              <w:rPr>
                <w:rFonts w:ascii="맑은 고딕" w:hAnsi="맑은 고딕" w:eastAsia="맑은 고딕"/>
                <w:sz w:val="19"/>
              </w:rPr>
              <w:t>월 1회 운영 현황 보고서, 분기 1회 점검회의</w:t>
            </w:r>
          </w:p>
        </w:tc>
        <w:tc>
          <w:tcPr>
            <w:tcW w:type="dxa" w:w="2409"/>
          </w:tcPr>
          <w:p>
            <w:r>
              <w:rPr>
                <w:rFonts w:ascii="맑은 고딕" w:hAnsi="맑은 고딕" w:eastAsia="맑은 고딕"/>
                <w:sz w:val="19"/>
              </w:rPr>
              <w:t>Ⅵ-6(PMR-002)</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콘텐츠 무상 갱신</w:t>
            </w:r>
          </w:p>
        </w:tc>
        <w:tc>
          <w:tcPr>
            <w:tcW w:type="dxa" w:w="2409"/>
          </w:tcPr>
          <w:p>
            <w:r>
              <w:rPr>
                <w:rFonts w:ascii="맑은 고딕" w:hAnsi="맑은 고딕" w:eastAsia="맑은 고딕"/>
                <w:sz w:val="19"/>
              </w:rPr>
              <w:t>AI 서비스 변경으로 미동작하는 스킬 최대 15종</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범위 구분</w:t>
            </w:r>
          </w:p>
        </w:tc>
        <w:tc>
          <w:tcPr>
            <w:tcW w:type="dxa" w:w="2409"/>
          </w:tcPr>
          <w:p>
            <w:r>
              <w:rPr>
                <w:rFonts w:ascii="맑은 고딕" w:hAnsi="맑은 고딕" w:eastAsia="맑은 고딕"/>
                <w:sz w:val="19"/>
              </w:rPr>
              <w:t>신규 기능은 별도 협의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C-8]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코어(4축+컬렉션)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Ⅲ-2 가,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SFR-012</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SFR-001·SFR-003·SFR-007</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회원·권한(3단계)</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SFR-008</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AI 검색·추천</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SFR-004·SFR-005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브라우저 체험</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SFR-006·SER-003</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30.8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1(25,828,846원)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