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r>
        <w:br w:type="page"/>
      </w:r>
    </w:p>
    <w:p>
      <w:pPr>
        <w:pStyle w:val="Heading1"/>
      </w:pPr>
      <w:r>
        <w:t>마스터 요구사항 준수표 — 안별 포함 범위</w:t>
      </w:r>
    </w:p>
    <w:p>
      <w:pPr/>
      <w:r>
        <w:t>완성안(C) 기준 요구사항 28개 ID 에 대한 안별 포함 여부입니다. 같은 ID 라도 안별 정의가 다른 경우(예: A안 SFR-004 '스킬 내려받기' vs C안 SFR-004 'AI 자연어 검색')는 명칭 기준으로 판정했습니다. ○ = 해당 안에서 수용.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400000" cy="4090500"/>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400000" cy="4090500"/>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400000" cy="3429000"/>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400000" cy="3429000"/>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400000" cy="4318945"/>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400000" cy="4318945"/>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