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아카이브/포털 구축 — 통합 비교 제안서</w:t>
      </w:r>
    </w:p>
    <w:p>
      <w:pPr>
        <w:jc w:val="center"/>
      </w:pPr>
      <w:r>
        <w:rPr>
          <w:rFonts w:ascii="맑은 고딕" w:hAnsi="맑은 고딕" w:eastAsia="맑은 고딕"/>
          <w:color w:val="6B7280"/>
          <w:sz w:val="24"/>
        </w:rPr>
        <w:t>안 선택 검토용 통합 비교본 — 부산광역시교육청 귀중</w:t>
      </w:r>
    </w:p>
    <w:p>
      <w:pPr>
        <w:jc w:val="center"/>
      </w:pPr>
      <w:r>
        <w:rPr>
          <w:rFonts w:ascii="맑은 고딕" w:hAnsi="맑은 고딕" w:eastAsia="맑은 고딕"/>
          <w:b/>
          <w:sz w:val="26"/>
        </w:rPr>
        <w:br/>
        <w:t>2026.  .    코드코리아</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제안 개요 — 왜 지금, 부산에 교육용 AI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본 비교 제안서는 이 공백을 채우는 세 가지 규모의 안을 제시합니다. 세 안 모두 공급가액 기준 추정가격 5천만원 이하로, 「지방자치단체를 당사자로 하는 계약에 관한 법률 시행령」 제25조 제1항 제5호(소액 수의계약) 및 제30조 제1항 단서(여성기업 1인 견적), 「여성기업지원에 관한 법률」 제2조 제1호에 따른 여성기업 1인 견적 수의계약 범위입니다.</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발주기관</w:t>
            </w:r>
          </w:p>
        </w:tc>
        <w:tc>
          <w:tcPr>
            <w:tcW w:type="dxa" w:w="7710"/>
          </w:tcPr>
          <w:p>
            <w:r/>
            <w:r>
              <w:rPr>
                <w:rFonts w:ascii="맑은 고딕" w:hAnsi="맑은 고딕" w:eastAsia="맑은 고딕"/>
                <w:sz w:val="20"/>
              </w:rPr>
              <w:t>부산광역시교육청 (디지털미래교육과)</w:t>
            </w:r>
          </w:p>
        </w:tc>
      </w:tr>
      <w:tr>
        <w:tc>
          <w:tcPr>
            <w:tcW w:type="dxa" w:w="1928"/>
            <w:shd w:val="clear" w:fill="EEF2F7"/>
          </w:tcPr>
          <w:p>
            <w:r/>
            <w:r>
              <w:rPr>
                <w:rFonts w:ascii="맑은 고딕" w:hAnsi="맑은 고딕" w:eastAsia="맑은 고딕"/>
                <w:b/>
                <w:color w:val="1F3A5F"/>
                <w:sz w:val="20"/>
              </w:rPr>
              <w:t>제 안 사</w:t>
            </w:r>
          </w:p>
        </w:tc>
        <w:tc>
          <w:tcPr>
            <w:tcW w:type="dxa" w:w="7710"/>
          </w:tcPr>
          <w:p>
            <w:r/>
            <w:r>
              <w:rPr>
                <w:rFonts w:ascii="맑은 고딕" w:hAnsi="맑은 고딕" w:eastAsia="맑은 고딕"/>
                <w:sz w:val="20"/>
              </w:rPr>
              <w:t>코드코리아 (대표 조성호, 부산광역시 금정구 — 관내 여성기업)</w:t>
            </w:r>
          </w:p>
        </w:tc>
      </w:tr>
      <w:tr>
        <w:tc>
          <w:tcPr>
            <w:tcW w:type="dxa" w:w="1928"/>
            <w:shd w:val="clear" w:fill="EEF2F7"/>
          </w:tcPr>
          <w:p>
            <w:r/>
            <w:r>
              <w:rPr>
                <w:rFonts w:ascii="맑은 고딕" w:hAnsi="맑은 고딕" w:eastAsia="맑은 고딕"/>
                <w:b/>
                <w:color w:val="1F3A5F"/>
                <w:sz w:val="20"/>
              </w:rPr>
              <w:t>계약방법</w:t>
            </w:r>
          </w:p>
        </w:tc>
        <w:tc>
          <w:tcPr>
            <w:tcW w:type="dxa" w:w="7710"/>
          </w:tcPr>
          <w:p>
            <w:r/>
            <w:r>
              <w:rPr>
                <w:rFonts w:ascii="맑은 고딕" w:hAnsi="맑은 고딕" w:eastAsia="맑은 고딕"/>
                <w:sz w:val="20"/>
              </w:rPr>
              <w:t>수의계약(여성기업 우대) — 「지방자치단체를 당사자로 하는 계약에 관한 법률 시행령」 제25조 제1항 제5호(소액 수의계약) 및 제30조 제1항 단서(여성기업 1인 견적), 「여성기업지원에 관한 법률」 제2조 제1호</w:t>
            </w:r>
          </w:p>
        </w:tc>
      </w:tr>
      <w:tr>
        <w:tc>
          <w:tcPr>
            <w:tcW w:type="dxa" w:w="1928"/>
            <w:shd w:val="clear" w:fill="EEF2F7"/>
          </w:tcPr>
          <w:p>
            <w:r/>
            <w:r>
              <w:rPr>
                <w:rFonts w:ascii="맑은 고딕" w:hAnsi="맑은 고딕" w:eastAsia="맑은 고딕"/>
                <w:b/>
                <w:color w:val="1F3A5F"/>
                <w:sz w:val="20"/>
              </w:rPr>
              <w:t>첨부증빙</w:t>
            </w:r>
          </w:p>
        </w:tc>
        <w:tc>
          <w:tcPr>
            <w:tcW w:type="dxa" w:w="7710"/>
          </w:tcPr>
          <w:p>
            <w:r/>
            <w:r>
              <w:rPr>
                <w:rFonts w:ascii="맑은 고딕" w:hAnsi="맑은 고딕" w:eastAsia="맑은 고딕"/>
                <w:sz w:val="20"/>
              </w:rPr>
              <w:t>여성기업확인서·중소기업확인서(유효기간 내), 사업자등록증</w:t>
            </w:r>
          </w:p>
        </w:tc>
      </w:tr>
    </w:tbl>
    <w:p>
      <w:pPr>
        <w:pStyle w:val="Note"/>
      </w:pPr>
    </w:p>
    <w:p>
      <w:r>
        <w:br w:type="page"/>
      </w:r>
    </w:p>
    <w:p>
      <w:pPr>
        <w:pStyle w:val="Heading1"/>
      </w:pPr>
      <w:r>
        <w:t>3안 비교 — 가치 사다리</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16"/>
            <w:shd w:val="clear" w:fill="1F3A5F"/>
          </w:tcPr>
          <w:p>
            <w:r/>
            <w:r>
              <w:rPr>
                <w:rFonts w:ascii="맑은 고딕" w:hAnsi="맑은 고딕" w:eastAsia="맑은 고딕"/>
                <w:b/>
                <w:color w:val="FFFFFF"/>
                <w:sz w:val="19"/>
              </w:rPr>
              <w:t>구분</w:t>
            </w:r>
          </w:p>
        </w:tc>
        <w:tc>
          <w:tcPr>
            <w:tcW w:type="dxa" w:w="1725"/>
            <w:shd w:val="clear" w:fill="1F3A5F"/>
          </w:tcPr>
          <w:p>
            <w:r/>
            <w:r>
              <w:rPr>
                <w:rFonts w:ascii="맑은 고딕" w:hAnsi="맑은 고딕" w:eastAsia="맑은 고딕"/>
                <w:b/>
                <w:color w:val="FFFFFF"/>
                <w:sz w:val="19"/>
              </w:rPr>
              <w:t>성격</w:t>
            </w:r>
          </w:p>
        </w:tc>
        <w:tc>
          <w:tcPr>
            <w:tcW w:type="dxa" w:w="1725"/>
            <w:shd w:val="clear" w:fill="1F3A5F"/>
          </w:tcPr>
          <w:p>
            <w:r/>
            <w:r>
              <w:rPr>
                <w:rFonts w:ascii="맑은 고딕" w:hAnsi="맑은 고딕" w:eastAsia="맑은 고딕"/>
                <w:b/>
                <w:color w:val="FFFFFF"/>
                <w:sz w:val="19"/>
              </w:rPr>
              <w:t>예산(부가세 포함)</w:t>
            </w:r>
          </w:p>
        </w:tc>
        <w:tc>
          <w:tcPr>
            <w:tcW w:type="dxa" w:w="812"/>
            <w:shd w:val="clear" w:fill="1F3A5F"/>
          </w:tcPr>
          <w:p>
            <w:r/>
            <w:r>
              <w:rPr>
                <w:rFonts w:ascii="맑은 고딕" w:hAnsi="맑은 고딕" w:eastAsia="맑은 고딕"/>
                <w:b/>
                <w:color w:val="FFFFFF"/>
                <w:sz w:val="19"/>
              </w:rPr>
              <w:t>기간</w:t>
            </w:r>
          </w:p>
        </w:tc>
        <w:tc>
          <w:tcPr>
            <w:tcW w:type="dxa" w:w="1116"/>
            <w:shd w:val="clear" w:fill="1F3A5F"/>
          </w:tcPr>
          <w:p>
            <w:r/>
            <w:r>
              <w:rPr>
                <w:rFonts w:ascii="맑은 고딕" w:hAnsi="맑은 고딕" w:eastAsia="맑은 고딕"/>
                <w:b/>
                <w:color w:val="FFFFFF"/>
                <w:sz w:val="19"/>
              </w:rPr>
              <w:t>콘텐츠</w:t>
            </w:r>
          </w:p>
        </w:tc>
        <w:tc>
          <w:tcPr>
            <w:tcW w:type="dxa" w:w="3145"/>
            <w:shd w:val="clear" w:fill="1F3A5F"/>
          </w:tcPr>
          <w:p>
            <w:r/>
            <w:r>
              <w:rPr>
                <w:rFonts w:ascii="맑은 고딕" w:hAnsi="맑은 고딕" w:eastAsia="맑은 고딕"/>
                <w:b/>
                <w:color w:val="FFFFFF"/>
                <w:sz w:val="19"/>
              </w:rPr>
              <w:t>핵심 가치</w:t>
            </w:r>
          </w:p>
        </w:tc>
      </w:tr>
      <w:tr>
        <w:tc>
          <w:tcPr>
            <w:tcW w:type="dxa" w:w="1116"/>
          </w:tcPr>
          <w:p>
            <w:r/>
            <w:r>
              <w:rPr>
                <w:rFonts w:ascii="맑은 고딕" w:hAnsi="맑은 고딕" w:eastAsia="맑은 고딕"/>
                <w:sz w:val="19"/>
              </w:rPr>
              <w:t>기본안</w:t>
              <w:br/>
              <w:t>(A안)</w:t>
            </w:r>
          </w:p>
        </w:tc>
        <w:tc>
          <w:tcPr>
            <w:tcW w:type="dxa" w:w="1725"/>
          </w:tcPr>
          <w:p>
            <w:r/>
            <w:r>
              <w:rPr>
                <w:rFonts w:ascii="맑은 고딕" w:hAnsi="맑은 고딕" w:eastAsia="맑은 고딕"/>
                <w:sz w:val="19"/>
              </w:rPr>
              <w:t>스킬 아카이브 구축</w:t>
            </w:r>
          </w:p>
        </w:tc>
        <w:tc>
          <w:tcPr>
            <w:tcW w:type="dxa" w:w="1725"/>
          </w:tcPr>
          <w:p>
            <w:r/>
            <w:r>
              <w:rPr>
                <w:rFonts w:ascii="맑은 고딕" w:hAnsi="맑은 고딕" w:eastAsia="맑은 고딕"/>
                <w:sz w:val="19"/>
              </w:rPr>
              <w:t>21,450,000원</w:t>
            </w:r>
          </w:p>
        </w:tc>
        <w:tc>
          <w:tcPr>
            <w:tcW w:type="dxa" w:w="812"/>
          </w:tcPr>
          <w:p>
            <w:r/>
            <w:r>
              <w:rPr>
                <w:rFonts w:ascii="맑은 고딕" w:hAnsi="맑은 고딕" w:eastAsia="맑은 고딕"/>
                <w:sz w:val="19"/>
              </w:rPr>
              <w:t>8주</w:t>
            </w:r>
          </w:p>
        </w:tc>
        <w:tc>
          <w:tcPr>
            <w:tcW w:type="dxa" w:w="1116"/>
          </w:tcPr>
          <w:p>
            <w:r/>
            <w:r>
              <w:rPr>
                <w:rFonts w:ascii="맑은 고딕" w:hAnsi="맑은 고딕" w:eastAsia="맑은 고딕"/>
                <w:sz w:val="19"/>
              </w:rPr>
              <w:t>스킬 10종</w:t>
            </w:r>
          </w:p>
        </w:tc>
        <w:tc>
          <w:tcPr>
            <w:tcW w:type="dxa" w:w="3145"/>
          </w:tcPr>
          <w:p>
            <w:r/>
            <w:r>
              <w:rPr>
                <w:rFonts w:ascii="맑은 고딕" w:hAnsi="맑은 고딕" w:eastAsia="맑은 고딕"/>
                <w:sz w:val="19"/>
              </w:rPr>
              <w:t>핵심 자료를 최소 기능으로 신속 확보 — 로그인 없는 공개 아카이브</w:t>
            </w:r>
          </w:p>
        </w:tc>
      </w:tr>
      <w:tr>
        <w:tc>
          <w:tcPr>
            <w:tcW w:type="dxa" w:w="1116"/>
          </w:tcPr>
          <w:p>
            <w:r/>
            <w:r>
              <w:rPr>
                <w:rFonts w:ascii="맑은 고딕" w:hAnsi="맑은 고딕" w:eastAsia="맑은 고딕"/>
                <w:sz w:val="19"/>
              </w:rPr>
              <w:t>확장안</w:t>
              <w:br/>
              <w:t>(B안)</w:t>
            </w:r>
          </w:p>
        </w:tc>
        <w:tc>
          <w:tcPr>
            <w:tcW w:type="dxa" w:w="1725"/>
          </w:tcPr>
          <w:p>
            <w:r/>
            <w:r>
              <w:rPr>
                <w:rFonts w:ascii="맑은 고딕" w:hAnsi="맑은 고딕" w:eastAsia="맑은 고딕"/>
                <w:sz w:val="19"/>
              </w:rPr>
              <w:t>참여형 스킬 포털</w:t>
            </w:r>
          </w:p>
        </w:tc>
        <w:tc>
          <w:tcPr>
            <w:tcW w:type="dxa" w:w="1725"/>
          </w:tcPr>
          <w:p>
            <w:r/>
            <w:r>
              <w:rPr>
                <w:rFonts w:ascii="맑은 고딕" w:hAnsi="맑은 고딕" w:eastAsia="맑은 고딕"/>
                <w:sz w:val="19"/>
              </w:rPr>
              <w:t>36,300,000원</w:t>
            </w:r>
          </w:p>
        </w:tc>
        <w:tc>
          <w:tcPr>
            <w:tcW w:type="dxa" w:w="812"/>
          </w:tcPr>
          <w:p>
            <w:r/>
            <w:r>
              <w:rPr>
                <w:rFonts w:ascii="맑은 고딕" w:hAnsi="맑은 고딕" w:eastAsia="맑은 고딕"/>
                <w:sz w:val="19"/>
              </w:rPr>
              <w:t>12주</w:t>
            </w:r>
          </w:p>
        </w:tc>
        <w:tc>
          <w:tcPr>
            <w:tcW w:type="dxa" w:w="1116"/>
          </w:tcPr>
          <w:p>
            <w:r/>
            <w:r>
              <w:rPr>
                <w:rFonts w:ascii="맑은 고딕" w:hAnsi="맑은 고딕" w:eastAsia="맑은 고딕"/>
                <w:sz w:val="19"/>
              </w:rPr>
              <w:t>스킬 25종</w:t>
            </w:r>
          </w:p>
        </w:tc>
        <w:tc>
          <w:tcPr>
            <w:tcW w:type="dxa" w:w="3145"/>
          </w:tcPr>
          <w:p>
            <w:r/>
            <w:r>
              <w:rPr>
                <w:rFonts w:ascii="맑은 고딕" w:hAnsi="맑은 고딕" w:eastAsia="맑은 고딕"/>
                <w:sz w:val="19"/>
              </w:rPr>
              <w:t>회원·평점·후기·버전 관리로 '활용도 중심' 성장 구조 확보</w:t>
            </w:r>
          </w:p>
        </w:tc>
      </w:tr>
      <w:tr>
        <w:tc>
          <w:tcPr>
            <w:tcW w:type="dxa" w:w="1116"/>
          </w:tcPr>
          <w:p>
            <w:r/>
            <w:r>
              <w:rPr>
                <w:rFonts w:ascii="맑은 고딕" w:hAnsi="맑은 고딕" w:eastAsia="맑은 고딕"/>
                <w:sz w:val="19"/>
              </w:rPr>
              <w:t>완성안</w:t>
              <w:br/>
              <w:t>(C안)</w:t>
            </w:r>
          </w:p>
        </w:tc>
        <w:tc>
          <w:tcPr>
            <w:tcW w:type="dxa" w:w="1725"/>
          </w:tcPr>
          <w:p>
            <w:r/>
            <w:r>
              <w:rPr>
                <w:rFonts w:ascii="맑은 고딕" w:hAnsi="맑은 고딕" w:eastAsia="맑은 고딕"/>
                <w:sz w:val="19"/>
              </w:rPr>
              <w:t>지능형 포털 + 직무연수</w:t>
            </w:r>
          </w:p>
        </w:tc>
        <w:tc>
          <w:tcPr>
            <w:tcW w:type="dxa" w:w="1725"/>
          </w:tcPr>
          <w:p>
            <w:r/>
            <w:r>
              <w:rPr>
                <w:rFonts w:ascii="맑은 고딕" w:hAnsi="맑은 고딕" w:eastAsia="맑은 고딕"/>
                <w:sz w:val="19"/>
              </w:rPr>
              <w:t>49,500,000원</w:t>
            </w:r>
          </w:p>
        </w:tc>
        <w:tc>
          <w:tcPr>
            <w:tcW w:type="dxa" w:w="812"/>
          </w:tcPr>
          <w:p>
            <w:r/>
            <w:r>
              <w:rPr>
                <w:rFonts w:ascii="맑은 고딕" w:hAnsi="맑은 고딕" w:eastAsia="맑은 고딕"/>
                <w:sz w:val="19"/>
              </w:rPr>
              <w:t>16주</w:t>
            </w:r>
          </w:p>
        </w:tc>
        <w:tc>
          <w:tcPr>
            <w:tcW w:type="dxa" w:w="1116"/>
          </w:tcPr>
          <w:p>
            <w:r/>
            <w:r>
              <w:rPr>
                <w:rFonts w:ascii="맑은 고딕" w:hAnsi="맑은 고딕" w:eastAsia="맑은 고딕"/>
                <w:sz w:val="19"/>
              </w:rPr>
              <w:t>스킬 40종</w:t>
            </w:r>
          </w:p>
        </w:tc>
        <w:tc>
          <w:tcPr>
            <w:tcW w:type="dxa" w:w="3145"/>
          </w:tcPr>
          <w:p>
            <w:r/>
            <w:r>
              <w:rPr>
                <w:rFonts w:ascii="맑은 고딕" w:hAnsi="맑은 고딕" w:eastAsia="맑은 고딕"/>
                <w:sz w:val="19"/>
              </w:rPr>
              <w:t>AI 자연어 검색·체험 + 15시간 연수 + 12개월 유지관리</w:t>
            </w:r>
          </w:p>
        </w:tc>
      </w:tr>
    </w:tbl>
    <w:p>
      <w:pPr>
        <w:pStyle w:val="Note"/>
      </w:pP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구분</w:t>
            </w:r>
          </w:p>
        </w:tc>
        <w:tc>
          <w:tcPr>
            <w:tcW w:type="dxa" w:w="7831"/>
            <w:shd w:val="clear" w:fill="1F3A5F"/>
          </w:tcPr>
          <w:p>
            <w:r/>
            <w:r>
              <w:rPr>
                <w:rFonts w:ascii="맑은 고딕" w:hAnsi="맑은 고딕" w:eastAsia="맑은 고딕"/>
                <w:b/>
                <w:color w:val="FFFFFF"/>
                <w:sz w:val="19"/>
              </w:rPr>
              <w:t>정책 근거</w:t>
            </w:r>
          </w:p>
        </w:tc>
      </w:tr>
      <w:tr>
        <w:tc>
          <w:tcPr>
            <w:tcW w:type="dxa" w:w="1807"/>
          </w:tcPr>
          <w:p>
            <w:r/>
            <w:r>
              <w:rPr>
                <w:rFonts w:ascii="맑은 고딕" w:hAnsi="맑은 고딕" w:eastAsia="맑은 고딕"/>
                <w:sz w:val="19"/>
              </w:rPr>
              <w:t>기본안(A안)</w:t>
            </w:r>
          </w:p>
        </w:tc>
        <w:tc>
          <w:tcPr>
            <w:tcW w:type="dxa" w:w="7831"/>
          </w:tcPr>
          <w:p>
            <w:r/>
            <w:r>
              <w:rPr>
                <w:rFonts w:ascii="맑은 고딕" w:hAnsi="맑은 고딕" w:eastAsia="맑은 고딕"/>
                <w:sz w:val="19"/>
              </w:rPr>
              <w:t>교육부 업무계획의 AI 활용 자료 확산 과제에 대응하는 1단계 기반</w:t>
            </w:r>
          </w:p>
        </w:tc>
      </w:tr>
      <w:tr>
        <w:tc>
          <w:tcPr>
            <w:tcW w:type="dxa" w:w="1807"/>
          </w:tcPr>
          <w:p>
            <w:r/>
            <w:r>
              <w:rPr>
                <w:rFonts w:ascii="맑은 고딕" w:hAnsi="맑은 고딕" w:eastAsia="맑은 고딕"/>
                <w:sz w:val="19"/>
              </w:rPr>
              <w:t>확장안(B안)</w:t>
            </w:r>
          </w:p>
        </w:tc>
        <w:tc>
          <w:tcPr>
            <w:tcW w:type="dxa" w:w="7831"/>
          </w:tcPr>
          <w:p>
            <w:r/>
            <w:r>
              <w:rPr>
                <w:rFonts w:ascii="맑은 고딕" w:hAnsi="맑은 고딕" w:eastAsia="맑은 고딕"/>
                <w:sz w:val="19"/>
              </w:rPr>
              <w:t>일회성 연수 자료가 축적되지 않는 구조적 문제의 해소</w:t>
            </w:r>
          </w:p>
        </w:tc>
      </w:tr>
      <w:tr>
        <w:tc>
          <w:tcPr>
            <w:tcW w:type="dxa" w:w="1807"/>
          </w:tcPr>
          <w:p>
            <w:r/>
            <w:r>
              <w:rPr>
                <w:rFonts w:ascii="맑은 고딕" w:hAnsi="맑은 고딕" w:eastAsia="맑은 고딕"/>
                <w:sz w:val="19"/>
              </w:rPr>
              <w:t>완성안(C안)</w:t>
            </w:r>
          </w:p>
        </w:tc>
        <w:tc>
          <w:tcPr>
            <w:tcW w:type="dxa" w:w="7831"/>
          </w:tcPr>
          <w:p>
            <w:r/>
            <w:r>
              <w:rPr>
                <w:rFonts w:ascii="맑은 고딕" w:hAnsi="맑은 고딕" w:eastAsia="맑은 고딕"/>
                <w:sz w:val="19"/>
              </w:rPr>
              <w:t>'AI 교수학습지원센터 구축' 공약의 실행 모델 — 시스템·콘텐츠·역량 결합</w:t>
            </w:r>
          </w:p>
        </w:tc>
      </w:tr>
    </w:tbl>
    <w:p>
      <w:pPr>
        <w:pStyle w:val="Note"/>
      </w:pPr>
    </w:p>
    <w:p>
      <w:pPr/>
      <w:r>
        <w:t>세 안은 대체 관계가 아니라 누적 관계입니다 — 확장안은 기본안을, 완성안은 확장안을 포함합니다. 안 간 가격 차이는 기능점수(FP)와 콘텐츠 수량의 차이로 산출됩니다(기본 19.4FP → 확장 26.9FP → 완성 30.8FP, 각 안 산출내역 참조).</w:t>
      </w:r>
    </w:p>
    <w:p>
      <w:r>
        <w:br w:type="page"/>
      </w:r>
    </w:p>
    <w:p>
      <w:pPr>
        <w:pStyle w:val="Heading1"/>
      </w:pPr>
      <w:r>
        <w:t>마스터 요구사항 준수표 — 안별 포함 범위</w:t>
      </w:r>
    </w:p>
    <w:p>
      <w:pPr/>
      <w:r>
        <w:t>완성안(C) 기준 요구사항 29개 ID 에 대한 안별 포함 여부입니다. 같은 ID 라도 안별 정의가 다른 경우(예: A안 SFR-004 '스킬 내려받기' vs C안 SFR-004 'AI 자연어 검색')는 명칭 기준으로 판정했습니다. ○ = 해당 안에서 수용. 괄호는 해당 안에서의 범위를 뜻합니다.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6"/>
            <w:shd w:val="clear" w:fill="1F3A5F"/>
          </w:tcPr>
          <w:p>
            <w:r/>
            <w:r>
              <w:rPr>
                <w:rFonts w:ascii="맑은 고딕" w:hAnsi="맑은 고딕" w:eastAsia="맑은 고딕"/>
                <w:b/>
                <w:color w:val="FFFFFF"/>
                <w:sz w:val="19"/>
              </w:rPr>
              <w:t>요구사항 ID</w:t>
            </w:r>
          </w:p>
        </w:tc>
        <w:tc>
          <w:tcPr>
            <w:tcW w:type="dxa" w:w="4026"/>
            <w:shd w:val="clear" w:fill="1F3A5F"/>
          </w:tcPr>
          <w:p>
            <w:r/>
            <w:r>
              <w:rPr>
                <w:rFonts w:ascii="맑은 고딕" w:hAnsi="맑은 고딕" w:eastAsia="맑은 고딕"/>
                <w:b/>
                <w:color w:val="FFFFFF"/>
                <w:sz w:val="19"/>
              </w:rPr>
              <w:t>명칭(C안 기준)</w:t>
            </w:r>
          </w:p>
        </w:tc>
        <w:tc>
          <w:tcPr>
            <w:tcW w:type="dxa" w:w="1342"/>
            <w:shd w:val="clear" w:fill="1F3A5F"/>
          </w:tcPr>
          <w:p>
            <w:r/>
            <w:r>
              <w:rPr>
                <w:rFonts w:ascii="맑은 고딕" w:hAnsi="맑은 고딕" w:eastAsia="맑은 고딕"/>
                <w:b/>
                <w:color w:val="FFFFFF"/>
                <w:sz w:val="19"/>
              </w:rPr>
              <w:t>기본안</w:t>
            </w:r>
          </w:p>
        </w:tc>
        <w:tc>
          <w:tcPr>
            <w:tcW w:type="dxa" w:w="1342"/>
            <w:shd w:val="clear" w:fill="1F3A5F"/>
          </w:tcPr>
          <w:p>
            <w:r/>
            <w:r>
              <w:rPr>
                <w:rFonts w:ascii="맑은 고딕" w:hAnsi="맑은 고딕" w:eastAsia="맑은 고딕"/>
                <w:b/>
                <w:color w:val="FFFFFF"/>
                <w:sz w:val="19"/>
              </w:rPr>
              <w:t>확장안</w:t>
            </w:r>
          </w:p>
        </w:tc>
        <w:tc>
          <w:tcPr>
            <w:tcW w:type="dxa" w:w="1342"/>
            <w:shd w:val="clear" w:fill="1F3A5F"/>
          </w:tcPr>
          <w:p>
            <w:r/>
            <w:r>
              <w:rPr>
                <w:rFonts w:ascii="맑은 고딕" w:hAnsi="맑은 고딕" w:eastAsia="맑은 고딕"/>
                <w:b/>
                <w:color w:val="FFFFFF"/>
                <w:sz w:val="19"/>
              </w:rPr>
              <w:t>완성안</w:t>
            </w:r>
          </w:p>
        </w:tc>
      </w:tr>
      <w:tr>
        <w:tc>
          <w:tcPr>
            <w:tcW w:type="dxa" w:w="1586"/>
          </w:tcPr>
          <w:p>
            <w:r/>
            <w:r>
              <w:rPr>
                <w:rFonts w:ascii="맑은 고딕" w:hAnsi="맑은 고딕" w:eastAsia="맑은 고딕"/>
                <w:sz w:val="19"/>
              </w:rPr>
              <w:t>SFR-001</w:t>
            </w:r>
          </w:p>
        </w:tc>
        <w:tc>
          <w:tcPr>
            <w:tcW w:type="dxa" w:w="4026"/>
          </w:tcPr>
          <w:p>
            <w:r/>
            <w:r>
              <w:rPr>
                <w:rFonts w:ascii="맑은 고딕" w:hAnsi="맑은 고딕" w:eastAsia="맑은 고딕"/>
                <w:sz w:val="19"/>
              </w:rPr>
              <w:t>스킬 목록·상세 제공</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SFR-002</w:t>
            </w:r>
          </w:p>
        </w:tc>
        <w:tc>
          <w:tcPr>
            <w:tcW w:type="dxa" w:w="4026"/>
          </w:tcPr>
          <w:p>
            <w:r/>
            <w:r>
              <w:rPr>
                <w:rFonts w:ascii="맑은 고딕" w:hAnsi="맑은 고딕" w:eastAsia="맑은 고딕"/>
                <w:sz w:val="19"/>
              </w:rPr>
              <w:t>4축 분류체계·컬렉션</w:t>
            </w:r>
          </w:p>
        </w:tc>
        <w:tc>
          <w:tcPr>
            <w:tcW w:type="dxa" w:w="1342"/>
          </w:tcPr>
          <w:p>
            <w:r/>
            <w:r>
              <w:rPr>
                <w:rFonts w:ascii="맑은 고딕" w:hAnsi="맑은 고딕" w:eastAsia="맑은 고딕"/>
                <w:sz w:val="19"/>
              </w:rPr>
              <w:t>○(2축)</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SFR-003</w:t>
            </w:r>
          </w:p>
        </w:tc>
        <w:tc>
          <w:tcPr>
            <w:tcW w:type="dxa" w:w="4026"/>
          </w:tcPr>
          <w:p>
            <w:r/>
            <w:r>
              <w:rPr>
                <w:rFonts w:ascii="맑은 고딕" w:hAnsi="맑은 고딕" w:eastAsia="맑은 고딕"/>
                <w:sz w:val="19"/>
              </w:rPr>
              <w:t>검색 및 필터</w:t>
            </w:r>
          </w:p>
        </w:tc>
        <w:tc>
          <w:tcPr>
            <w:tcW w:type="dxa" w:w="1342"/>
          </w:tcPr>
          <w:p>
            <w:r/>
            <w:r>
              <w:rPr>
                <w:rFonts w:ascii="맑은 고딕" w:hAnsi="맑은 고딕" w:eastAsia="맑은 고딕"/>
                <w:sz w:val="19"/>
              </w:rPr>
              <w:t>○(키워드)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SFR-004</w:t>
            </w:r>
          </w:p>
        </w:tc>
        <w:tc>
          <w:tcPr>
            <w:tcW w:type="dxa" w:w="4026"/>
          </w:tcPr>
          <w:p>
            <w:r/>
            <w:r>
              <w:rPr>
                <w:rFonts w:ascii="맑은 고딕" w:hAnsi="맑은 고딕" w:eastAsia="맑은 고딕"/>
                <w:sz w:val="19"/>
              </w:rPr>
              <w:t>AI 자연어 검색</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SFR-005</w:t>
            </w:r>
          </w:p>
        </w:tc>
        <w:tc>
          <w:tcPr>
            <w:tcW w:type="dxa" w:w="4026"/>
          </w:tcPr>
          <w:p>
            <w:r/>
            <w:r>
              <w:rPr>
                <w:rFonts w:ascii="맑은 고딕" w:hAnsi="맑은 고딕" w:eastAsia="맑은 고딕"/>
                <w:sz w:val="19"/>
              </w:rPr>
              <w:t>맞춤 추천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SFR-006</w:t>
            </w:r>
          </w:p>
        </w:tc>
        <w:tc>
          <w:tcPr>
            <w:tcW w:type="dxa" w:w="4026"/>
          </w:tcPr>
          <w:p>
            <w:r/>
            <w:r>
              <w:rPr>
                <w:rFonts w:ascii="맑은 고딕" w:hAnsi="맑은 고딕" w:eastAsia="맑은 고딕"/>
                <w:sz w:val="19"/>
              </w:rPr>
              <w:t>브라우저 내 체험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SFR-007</w:t>
            </w:r>
          </w:p>
        </w:tc>
        <w:tc>
          <w:tcPr>
            <w:tcW w:type="dxa" w:w="4026"/>
          </w:tcPr>
          <w:p>
            <w:r/>
            <w:r>
              <w:rPr>
                <w:rFonts w:ascii="맑은 고딕" w:hAnsi="맑은 고딕" w:eastAsia="맑은 고딕"/>
                <w:sz w:val="19"/>
              </w:rPr>
              <w:t>설명문서 미리보기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SFR-008</w:t>
            </w:r>
          </w:p>
        </w:tc>
        <w:tc>
          <w:tcPr>
            <w:tcW w:type="dxa" w:w="4026"/>
          </w:tcPr>
          <w:p>
            <w:r/>
            <w:r>
              <w:rPr>
                <w:rFonts w:ascii="맑은 고딕" w:hAnsi="맑은 고딕" w:eastAsia="맑은 고딕"/>
                <w:sz w:val="19"/>
              </w:rPr>
              <w:t>회원가입·로그인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SFR-009</w:t>
            </w:r>
          </w:p>
        </w:tc>
        <w:tc>
          <w:tcPr>
            <w:tcW w:type="dxa" w:w="4026"/>
          </w:tcPr>
          <w:p>
            <w:r/>
            <w:r>
              <w:rPr>
                <w:rFonts w:ascii="맑은 고딕" w:hAnsi="맑은 고딕" w:eastAsia="맑은 고딕"/>
                <w:sz w:val="19"/>
              </w:rPr>
              <w:t>즐겨찾기·평점·후기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SFR-010</w:t>
            </w:r>
          </w:p>
        </w:tc>
        <w:tc>
          <w:tcPr>
            <w:tcW w:type="dxa" w:w="4026"/>
          </w:tcPr>
          <w:p>
            <w:r/>
            <w:r>
              <w:rPr>
                <w:rFonts w:ascii="맑은 고딕" w:hAnsi="맑은 고딕" w:eastAsia="맑은 고딕"/>
                <w:sz w:val="19"/>
              </w:rPr>
              <w:t>버전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SFR-011</w:t>
            </w:r>
          </w:p>
        </w:tc>
        <w:tc>
          <w:tcPr>
            <w:tcW w:type="dxa" w:w="4026"/>
          </w:tcPr>
          <w:p>
            <w:r/>
            <w:r>
              <w:rPr>
                <w:rFonts w:ascii="맑은 고딕" w:hAnsi="맑은 고딕" w:eastAsia="맑은 고딕"/>
                <w:sz w:val="19"/>
              </w:rPr>
              <w:t>스킬 내려받기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SFR-012</w:t>
            </w:r>
          </w:p>
        </w:tc>
        <w:tc>
          <w:tcPr>
            <w:tcW w:type="dxa" w:w="4026"/>
          </w:tcPr>
          <w:p>
            <w:r/>
            <w:r>
              <w:rPr>
                <w:rFonts w:ascii="맑은 고딕" w:hAnsi="맑은 고딕" w:eastAsia="맑은 고딕"/>
                <w:sz w:val="19"/>
              </w:rPr>
              <w:t>관리자 콘텐츠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SFR-013</w:t>
            </w:r>
          </w:p>
        </w:tc>
        <w:tc>
          <w:tcPr>
            <w:tcW w:type="dxa" w:w="4026"/>
          </w:tcPr>
          <w:p>
            <w:r/>
            <w:r>
              <w:rPr>
                <w:rFonts w:ascii="맑은 고딕" w:hAnsi="맑은 고딕" w:eastAsia="맑은 고딕"/>
                <w:sz w:val="19"/>
              </w:rPr>
              <w:t>회원·후기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SFR-014</w:t>
            </w:r>
          </w:p>
        </w:tc>
        <w:tc>
          <w:tcPr>
            <w:tcW w:type="dxa" w:w="4026"/>
          </w:tcPr>
          <w:p>
            <w:r/>
            <w:r>
              <w:rPr>
                <w:rFonts w:ascii="맑은 고딕" w:hAnsi="맑은 고딕" w:eastAsia="맑은 고딕"/>
                <w:sz w:val="19"/>
              </w:rPr>
              <w:t>관리자 대시보드</w:t>
            </w:r>
          </w:p>
        </w:tc>
        <w:tc>
          <w:tcPr>
            <w:tcW w:type="dxa" w:w="1342"/>
          </w:tcPr>
          <w:p>
            <w:r/>
            <w:r>
              <w:rPr>
                <w:rFonts w:ascii="맑은 고딕" w:hAnsi="맑은 고딕" w:eastAsia="맑은 고딕"/>
                <w:sz w:val="19"/>
              </w:rPr>
              <w:t>○(이용 통계)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SFR-015</w:t>
            </w:r>
          </w:p>
        </w:tc>
        <w:tc>
          <w:tcPr>
            <w:tcW w:type="dxa" w:w="4026"/>
          </w:tcPr>
          <w:p>
            <w:r/>
            <w:r>
              <w:rPr>
                <w:rFonts w:ascii="맑은 고딕" w:hAnsi="맑은 고딕" w:eastAsia="맑은 고딕"/>
                <w:sz w:val="19"/>
              </w:rPr>
              <w:t>공지사항·이용안내</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SIR-001</w:t>
            </w:r>
          </w:p>
        </w:tc>
        <w:tc>
          <w:tcPr>
            <w:tcW w:type="dxa" w:w="4026"/>
          </w:tcPr>
          <w:p>
            <w:r/>
            <w:r>
              <w:rPr>
                <w:rFonts w:ascii="맑은 고딕" w:hAnsi="맑은 고딕" w:eastAsia="맑은 고딕"/>
                <w:sz w:val="19"/>
              </w:rPr>
              <w:t>클라우드 운영환경</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SIR-002</w:t>
            </w:r>
          </w:p>
        </w:tc>
        <w:tc>
          <w:tcPr>
            <w:tcW w:type="dxa" w:w="4026"/>
          </w:tcPr>
          <w:p>
            <w:r/>
            <w:r>
              <w:rPr>
                <w:rFonts w:ascii="맑은 고딕" w:hAnsi="맑은 고딕" w:eastAsia="맑은 고딕"/>
                <w:sz w:val="19"/>
              </w:rPr>
              <w:t>백업 체계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ECR-001</w:t>
            </w:r>
          </w:p>
        </w:tc>
        <w:tc>
          <w:tcPr>
            <w:tcW w:type="dxa" w:w="4026"/>
          </w:tcPr>
          <w:p>
            <w:r/>
            <w:r>
              <w:rPr>
                <w:rFonts w:ascii="맑은 고딕" w:hAnsi="맑은 고딕" w:eastAsia="맑은 고딕"/>
                <w:sz w:val="19"/>
              </w:rPr>
              <w:t>외부 AI 서비스 연동</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DAR-001</w:t>
            </w:r>
          </w:p>
        </w:tc>
        <w:tc>
          <w:tcPr>
            <w:tcW w:type="dxa" w:w="4026"/>
          </w:tcPr>
          <w:p>
            <w:r/>
            <w:r>
              <w:rPr>
                <w:rFonts w:ascii="맑은 고딕" w:hAnsi="맑은 고딕" w:eastAsia="맑은 고딕"/>
                <w:sz w:val="19"/>
              </w:rPr>
              <w:t>데이터 이관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SER-001</w:t>
            </w:r>
          </w:p>
        </w:tc>
        <w:tc>
          <w:tcPr>
            <w:tcW w:type="dxa" w:w="4026"/>
          </w:tcPr>
          <w:p>
            <w:r/>
            <w:r>
              <w:rPr>
                <w:rFonts w:ascii="맑은 고딕" w:hAnsi="맑은 고딕" w:eastAsia="맑은 고딕"/>
                <w:sz w:val="19"/>
              </w:rPr>
              <w:t>웹 취약점 조치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SER-002</w:t>
            </w:r>
          </w:p>
        </w:tc>
        <w:tc>
          <w:tcPr>
            <w:tcW w:type="dxa" w:w="4026"/>
          </w:tcPr>
          <w:p>
            <w:r/>
            <w:r>
              <w:rPr>
                <w:rFonts w:ascii="맑은 고딕" w:hAnsi="맑은 고딕" w:eastAsia="맑은 고딕"/>
                <w:sz w:val="19"/>
              </w:rPr>
              <w:t>개인정보 보호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SER-003</w:t>
            </w:r>
          </w:p>
        </w:tc>
        <w:tc>
          <w:tcPr>
            <w:tcW w:type="dxa" w:w="4026"/>
          </w:tcPr>
          <w:p>
            <w:r/>
            <w:r>
              <w:rPr>
                <w:rFonts w:ascii="맑은 고딕" w:hAnsi="맑은 고딕" w:eastAsia="맑은 고딕"/>
                <w:sz w:val="19"/>
              </w:rPr>
              <w:t>외부 전송 통제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QUR-001</w:t>
            </w:r>
          </w:p>
        </w:tc>
        <w:tc>
          <w:tcPr>
            <w:tcW w:type="dxa" w:w="4026"/>
          </w:tcPr>
          <w:p>
            <w:r/>
            <w:r>
              <w:rPr>
                <w:rFonts w:ascii="맑은 고딕" w:hAnsi="맑은 고딕" w:eastAsia="맑은 고딕"/>
                <w:sz w:val="19"/>
              </w:rPr>
              <w:t>웹 접근성 준수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QUR-002</w:t>
            </w:r>
          </w:p>
        </w:tc>
        <w:tc>
          <w:tcPr>
            <w:tcW w:type="dxa" w:w="4026"/>
          </w:tcPr>
          <w:p>
            <w:r/>
            <w:r>
              <w:rPr>
                <w:rFonts w:ascii="맑은 고딕" w:hAnsi="맑은 고딕" w:eastAsia="맑은 고딕"/>
                <w:sz w:val="19"/>
              </w:rPr>
              <w:t>브라우저 호환성</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QUR-003</w:t>
            </w:r>
          </w:p>
        </w:tc>
        <w:tc>
          <w:tcPr>
            <w:tcW w:type="dxa" w:w="4026"/>
          </w:tcPr>
          <w:p>
            <w:r/>
            <w:r>
              <w:rPr>
                <w:rFonts w:ascii="맑은 고딕" w:hAnsi="맑은 고딕" w:eastAsia="맑은 고딕"/>
                <w:sz w:val="19"/>
              </w:rPr>
              <w:t>검색 품질 평가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PSR-001</w:t>
            </w:r>
          </w:p>
        </w:tc>
        <w:tc>
          <w:tcPr>
            <w:tcW w:type="dxa" w:w="4026"/>
          </w:tcPr>
          <w:p>
            <w:r/>
            <w:r>
              <w:rPr>
                <w:rFonts w:ascii="맑은 고딕" w:hAnsi="맑은 고딕" w:eastAsia="맑은 고딕"/>
                <w:sz w:val="19"/>
              </w:rPr>
              <w:t>교원 직무연수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PSR-002</w:t>
            </w:r>
          </w:p>
        </w:tc>
        <w:tc>
          <w:tcPr>
            <w:tcW w:type="dxa" w:w="4026"/>
          </w:tcPr>
          <w:p>
            <w:r/>
            <w:r>
              <w:rPr>
                <w:rFonts w:ascii="맑은 고딕" w:hAnsi="맑은 고딕" w:eastAsia="맑은 고딕"/>
                <w:sz w:val="19"/>
              </w:rPr>
              <w:t>안내 영상 제작</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PMR-001</w:t>
            </w:r>
          </w:p>
        </w:tc>
        <w:tc>
          <w:tcPr>
            <w:tcW w:type="dxa" w:w="4026"/>
          </w:tcPr>
          <w:p>
            <w:r/>
            <w:r>
              <w:rPr>
                <w:rFonts w:ascii="맑은 고딕" w:hAnsi="맑은 고딕" w:eastAsia="맑은 고딕"/>
                <w:sz w:val="19"/>
              </w:rPr>
              <w:t>단계별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PMR-002</w:t>
            </w:r>
          </w:p>
        </w:tc>
        <w:tc>
          <w:tcPr>
            <w:tcW w:type="dxa" w:w="4026"/>
          </w:tcPr>
          <w:p>
            <w:r/>
            <w:r>
              <w:rPr>
                <w:rFonts w:ascii="맑은 고딕" w:hAnsi="맑은 고딕" w:eastAsia="맑은 고딕"/>
                <w:sz w:val="19"/>
              </w:rPr>
              <w:t>유지관리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bl>
    <w:p>
      <w:pPr>
        <w:pStyle w:val="Note"/>
      </w:pPr>
    </w:p>
    <w:p>
      <w:r>
        <w:br w:type="page"/>
      </w:r>
    </w:p>
    <w:p>
      <w:pPr>
        <w:pStyle w:val="Heading1"/>
      </w:pPr>
      <w:r>
        <w:t>기본안 (A안) — 부산광역시교육청 교육용 AI 스킬 아카이브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21,450,000원 (공급가액 19,500,000원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8주 이내(약 2개월)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아카이브 시스템 개발 / 교육용 AI 스킬 콘텐츠 제작 / 배포 및 안정화</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3개월로 하며, 기간 중 발생하는 오류·장애는 통보 후 3일 이내에 무상으로 조치한다</w:t>
            </w:r>
          </w:p>
        </w:tc>
      </w:tr>
    </w:tbl>
    <w:p>
      <w:pPr>
        <w:pStyle w:val="Note"/>
      </w:pPr>
    </w:p>
    <w:p>
      <w:pPr>
        <w:jc w:val="center"/>
      </w:pPr>
      <w:r>
        <w:drawing>
          <wp:inline xmlns:a="http://schemas.openxmlformats.org/drawingml/2006/main" xmlns:pic="http://schemas.openxmlformats.org/drawingml/2006/picture">
            <wp:extent cx="5400000" cy="4090500"/>
            <wp:docPr id="4" name="Picture 4"/>
            <wp:cNvGraphicFramePr>
              <a:graphicFrameLocks noChangeAspect="1"/>
            </wp:cNvGraphicFramePr>
            <a:graphic>
              <a:graphicData uri="http://schemas.openxmlformats.org/drawingml/2006/picture">
                <pic:pic>
                  <pic:nvPicPr>
                    <pic:cNvPr id="0" name="a_main.png"/>
                    <pic:cNvPicPr/>
                  </pic:nvPicPr>
                  <pic:blipFill>
                    <a:blip r:embed="rId13"/>
                    <a:stretch>
                      <a:fillRect/>
                    </a:stretch>
                  </pic:blipFill>
                  <pic:spPr>
                    <a:xfrm>
                      <a:off x="0" y="0"/>
                      <a:ext cx="5400000" cy="4090500"/>
                    </a:xfrm>
                    <a:prstGeom prst="rect"/>
                  </pic:spPr>
                </pic:pic>
              </a:graphicData>
            </a:graphic>
          </wp:inline>
        </w:drawing>
      </w:r>
    </w:p>
    <w:p>
      <w:pPr>
        <w:pStyle w:val="Caption2"/>
        <w:jc w:val="center"/>
      </w:pPr>
      <w:r>
        <w:t>[그림 3] 교원이 로그인 없이 검색 한 번으로 필요한 스킬에 도달한다 (SFR-001 · SFR-003 · SER-002)</w:t>
      </w:r>
    </w:p>
    <w:p>
      <w:pPr>
        <w:jc w:val="center"/>
      </w:pPr>
      <w:r>
        <w:drawing>
          <wp:inline xmlns:a="http://schemas.openxmlformats.org/drawingml/2006/main" xmlns:pic="http://schemas.openxmlformats.org/drawingml/2006/picture">
            <wp:extent cx="5760000" cy="3447000"/>
            <wp:docPr id="5" name="Picture 5"/>
            <wp:cNvGraphicFramePr>
              <a:graphicFrameLocks noChangeAspect="1"/>
            </wp:cNvGraphicFramePr>
            <a:graphic>
              <a:graphicData uri="http://schemas.openxmlformats.org/drawingml/2006/picture">
                <pic:pic>
                  <pic:nvPicPr>
                    <pic:cNvPr id="0" name="gantt_a.png"/>
                    <pic:cNvPicPr/>
                  </pic:nvPicPr>
                  <pic:blipFill>
                    <a:blip r:embed="rId14"/>
                    <a:stretch>
                      <a:fillRect/>
                    </a:stretch>
                  </pic:blipFill>
                  <pic:spPr>
                    <a:xfrm>
                      <a:off x="0" y="0"/>
                      <a:ext cx="5760000" cy="3447000"/>
                    </a:xfrm>
                    <a:prstGeom prst="rect"/>
                  </pic:spPr>
                </pic:pic>
              </a:graphicData>
            </a:graphic>
          </wp:inline>
        </w:drawing>
      </w:r>
    </w:p>
    <w:p>
      <w:pPr>
        <w:pStyle w:val="Caption2"/>
        <w:jc w:val="center"/>
      </w:pPr>
      <w:r>
        <w:t>[그림 4]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로그인·개인정보 수집 없는 공개 아카이브 — 개인정보 리스크 원천 배제(SER-002)</w:t>
            </w:r>
          </w:p>
        </w:tc>
      </w:tr>
      <w:tr>
        <w:tc>
          <w:tcPr>
            <w:tcW w:type="dxa" w:w="9638"/>
          </w:tcPr>
          <w:p>
            <w:r/>
            <w:r>
              <w:rPr>
                <w:rFonts w:ascii="맑은 고딕" w:hAnsi="맑은 고딕" w:eastAsia="맑은 고딕"/>
                <w:sz w:val="19"/>
              </w:rPr>
              <w:t>표준 서식 스킬 10종 — 상용 AI 2종 검증 + 현직 교원 2인 검수</w:t>
            </w:r>
          </w:p>
        </w:tc>
      </w:tr>
      <w:tr>
        <w:tc>
          <w:tcPr>
            <w:tcW w:type="dxa" w:w="9638"/>
          </w:tcPr>
          <w:p>
            <w:r/>
            <w:r>
              <w:rPr>
                <w:rFonts w:ascii="맑은 고딕" w:hAnsi="맑은 고딕" w:eastAsia="맑은 고딕"/>
                <w:sz w:val="19"/>
              </w:rPr>
              <w:t>이용 통계로 차년도 고도화 우선순위를 데이터로 확보(SFR-007)</w:t>
            </w:r>
          </w:p>
        </w:tc>
      </w:tr>
    </w:tbl>
    <w:p>
      <w:pPr>
        <w:pStyle w:val="Note"/>
      </w:pPr>
    </w:p>
    <w:p>
      <w:pPr>
        <w:pStyle w:val="Note"/>
      </w:pPr>
      <w:r>
        <w:t>산출 총괄: SW 개발비 13,716,051원(19.4FP, KOSA 기능점수 간이법) + 콘텐츠·연수·직접경비 4,800,000원 + 이윤 983,949원(7.2% — 법정 한도 25% 이내) = 공급가액 19,500,000원, 부가세 포함 21,450,000원. 상세는 안별 제안서 Ⅶ장 산출내역서 참조.</w:t>
      </w:r>
    </w:p>
    <w:p>
      <w:r>
        <w:br w:type="page"/>
      </w:r>
    </w:p>
    <w:p>
      <w:pPr>
        <w:pStyle w:val="Heading1"/>
      </w:pPr>
      <w:r>
        <w:t>확장안 (B안) — 부산광역시교육청 교육용 AI 스킬 포털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36,300,000원 (공급가액 33,000,000원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12주 이내(약 3개월)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교육용 AI 스킬 콘텐츠 제작 / 교원 연수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6개월로 하며, 오류·장애는 통보 후 24시간 이내 접수, 3일 이내 조치를 원칙으로 한다. 기간 중 월 1회 운영 현황 보고서</w:t>
            </w:r>
          </w:p>
        </w:tc>
      </w:tr>
    </w:tbl>
    <w:p>
      <w:pPr>
        <w:pStyle w:val="Note"/>
      </w:pPr>
    </w:p>
    <w:p>
      <w:pPr>
        <w:jc w:val="center"/>
      </w:pPr>
      <w:r>
        <w:drawing>
          <wp:inline xmlns:a="http://schemas.openxmlformats.org/drawingml/2006/main" xmlns:pic="http://schemas.openxmlformats.org/drawingml/2006/picture">
            <wp:extent cx="5400000" cy="3429000"/>
            <wp:docPr id="6" name="Picture 6"/>
            <wp:cNvGraphicFramePr>
              <a:graphicFrameLocks noChangeAspect="1"/>
            </wp:cNvGraphicFramePr>
            <a:graphic>
              <a:graphicData uri="http://schemas.openxmlformats.org/drawingml/2006/picture">
                <pic:pic>
                  <pic:nvPicPr>
                    <pic:cNvPr id="0" name="b_main.png"/>
                    <pic:cNvPicPr/>
                  </pic:nvPicPr>
                  <pic:blipFill>
                    <a:blip r:embed="rId15"/>
                    <a:stretch>
                      <a:fillRect/>
                    </a:stretch>
                  </pic:blipFill>
                  <pic:spPr>
                    <a:xfrm>
                      <a:off x="0" y="0"/>
                      <a:ext cx="5400000" cy="3429000"/>
                    </a:xfrm>
                    <a:prstGeom prst="rect"/>
                  </pic:spPr>
                </pic:pic>
              </a:graphicData>
            </a:graphic>
          </wp:inline>
        </w:drawing>
      </w:r>
    </w:p>
    <w:p>
      <w:pPr>
        <w:pStyle w:val="Caption2"/>
        <w:jc w:val="center"/>
      </w:pPr>
      <w:r>
        <w:t>[그림 5] 4축 필터·평점·컬렉션으로 현장에서 검증된 스킬이 먼저 보인다 (SFR-002 · SFR-003 · SFR-006 · SFR-008)</w:t>
      </w:r>
    </w:p>
    <w:p>
      <w:pPr>
        <w:jc w:val="center"/>
      </w:pPr>
      <w:r>
        <w:drawing>
          <wp:inline xmlns:a="http://schemas.openxmlformats.org/drawingml/2006/main" xmlns:pic="http://schemas.openxmlformats.org/drawingml/2006/picture">
            <wp:extent cx="5760000" cy="3789000"/>
            <wp:docPr id="7" name="Picture 7"/>
            <wp:cNvGraphicFramePr>
              <a:graphicFrameLocks noChangeAspect="1"/>
            </wp:cNvGraphicFramePr>
            <a:graphic>
              <a:graphicData uri="http://schemas.openxmlformats.org/drawingml/2006/picture">
                <pic:pic>
                  <pic:nvPicPr>
                    <pic:cNvPr id="0" name="gantt_b.png"/>
                    <pic:cNvPicPr/>
                  </pic:nvPicPr>
                  <pic:blipFill>
                    <a:blip r:embed="rId16"/>
                    <a:stretch>
                      <a:fillRect/>
                    </a:stretch>
                  </pic:blipFill>
                  <pic:spPr>
                    <a:xfrm>
                      <a:off x="0" y="0"/>
                      <a:ext cx="5760000" cy="3789000"/>
                    </a:xfrm>
                    <a:prstGeom prst="rect"/>
                  </pic:spPr>
                </pic:pic>
              </a:graphicData>
            </a:graphic>
          </wp:inline>
        </w:drawing>
      </w:r>
    </w:p>
    <w:p>
      <w:pPr>
        <w:pStyle w:val="Caption2"/>
        <w:jc w:val="center"/>
      </w:pPr>
      <w:r>
        <w:t>[그림 6]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회원·평점·후기·버전 관리 — 현장 검증 데이터로 성장하는 포털(SFR-005~007)</w:t>
            </w:r>
          </w:p>
        </w:tc>
      </w:tr>
      <w:tr>
        <w:tc>
          <w:tcPr>
            <w:tcW w:type="dxa" w:w="9638"/>
          </w:tcPr>
          <w:p>
            <w:r/>
            <w:r>
              <w:rPr>
                <w:rFonts w:ascii="맑은 고딕" w:hAnsi="맑은 고딕" w:eastAsia="맑은 고딕"/>
                <w:sz w:val="19"/>
              </w:rPr>
              <w:t>표준 서식 스킬 25종 — 교원 3인 검수 + 개정 이력 관리</w:t>
            </w:r>
          </w:p>
        </w:tc>
      </w:tr>
      <w:tr>
        <w:tc>
          <w:tcPr>
            <w:tcW w:type="dxa" w:w="9638"/>
          </w:tcPr>
          <w:p>
            <w:r/>
            <w:r>
              <w:rPr>
                <w:rFonts w:ascii="맑은 고딕" w:hAnsi="맑은 고딕" w:eastAsia="맑은 고딕"/>
                <w:sz w:val="19"/>
              </w:rPr>
              <w:t>교원 활용 연수 2회(3시간)와 관리자 리포트·엑셀 내려받기(PSR-001, SFR-012)</w:t>
            </w:r>
          </w:p>
        </w:tc>
      </w:tr>
    </w:tbl>
    <w:p>
      <w:pPr>
        <w:pStyle w:val="Note"/>
      </w:pPr>
    </w:p>
    <w:p>
      <w:pPr>
        <w:pStyle w:val="Note"/>
      </w:pPr>
      <w:r>
        <w:t>산출 총괄: SW 개발비 19,998,990원(26.9FP, KOSA 기능점수 간이법) + 콘텐츠·연수·직접경비 11,860,000원 + 이윤 1,141,010원(5.7% — 법정 한도 25% 이내) = 공급가액 33,000,000원, 부가세 포함 36,300,000원. 상세는 안별 제안서 Ⅶ장 산출내역서 참조.</w:t>
      </w:r>
    </w:p>
    <w:p>
      <w:r>
        <w:br w:type="page"/>
      </w:r>
    </w:p>
    <w:p>
      <w:pPr>
        <w:pStyle w:val="Heading1"/>
      </w:pPr>
      <w:r>
        <w:t>완성안 (C안) — 부산광역시교육청 교육용 AI 스킬 포털 구축 및 교원 역량강화 연수</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49,500,000원 (공급가액 45,000,000원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16주 이내(약 4개월)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AI 자연어 검색 및 체험 기능 / 교육용 AI 스킬 콘텐츠 제작 / 교원 직무연수 및 안내 영상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w:t>
            </w:r>
          </w:p>
        </w:tc>
      </w:tr>
    </w:tbl>
    <w:p>
      <w:pPr>
        <w:pStyle w:val="Note"/>
      </w:pPr>
    </w:p>
    <w:p>
      <w:pPr>
        <w:jc w:val="center"/>
      </w:pPr>
      <w:r>
        <w:drawing>
          <wp:inline xmlns:a="http://schemas.openxmlformats.org/drawingml/2006/main" xmlns:pic="http://schemas.openxmlformats.org/drawingml/2006/picture">
            <wp:extent cx="5400000" cy="4318945"/>
            <wp:docPr id="8" name="Picture 8"/>
            <wp:cNvGraphicFramePr>
              <a:graphicFrameLocks noChangeAspect="1"/>
            </wp:cNvGraphicFramePr>
            <a:graphic>
              <a:graphicData uri="http://schemas.openxmlformats.org/drawingml/2006/picture">
                <pic:pic>
                  <pic:nvPicPr>
                    <pic:cNvPr id="0" name="c_search.png"/>
                    <pic:cNvPicPr/>
                  </pic:nvPicPr>
                  <pic:blipFill>
                    <a:blip r:embed="rId17"/>
                    <a:stretch>
                      <a:fillRect/>
                    </a:stretch>
                  </pic:blipFill>
                  <pic:spPr>
                    <a:xfrm>
                      <a:off x="0" y="0"/>
                      <a:ext cx="5400000" cy="4318945"/>
                    </a:xfrm>
                    <a:prstGeom prst="rect"/>
                  </pic:spPr>
                </pic:pic>
              </a:graphicData>
            </a:graphic>
          </wp:inline>
        </w:drawing>
      </w:r>
    </w:p>
    <w:p>
      <w:pPr>
        <w:pStyle w:val="Caption2"/>
        <w:jc w:val="center"/>
      </w:pPr>
      <w:r>
        <w:t>[그림 7] 교원이 문장으로 물으면 적합한 스킬이 추천 이유와 함께 제시된다 (SFR-004 · SFR-005)</w:t>
      </w:r>
    </w:p>
    <w:p>
      <w:pPr>
        <w:jc w:val="center"/>
      </w:pPr>
      <w:r>
        <w:drawing>
          <wp:inline xmlns:a="http://schemas.openxmlformats.org/drawingml/2006/main" xmlns:pic="http://schemas.openxmlformats.org/drawingml/2006/picture">
            <wp:extent cx="5760000" cy="4671000"/>
            <wp:docPr id="9" name="Picture 9"/>
            <wp:cNvGraphicFramePr>
              <a:graphicFrameLocks noChangeAspect="1"/>
            </wp:cNvGraphicFramePr>
            <a:graphic>
              <a:graphicData uri="http://schemas.openxmlformats.org/drawingml/2006/picture">
                <pic:pic>
                  <pic:nvPicPr>
                    <pic:cNvPr id="0" name="gantt_c.png"/>
                    <pic:cNvPicPr/>
                  </pic:nvPicPr>
                  <pic:blipFill>
                    <a:blip r:embed="rId18"/>
                    <a:stretch>
                      <a:fillRect/>
                    </a:stretch>
                  </pic:blipFill>
                  <pic:spPr>
                    <a:xfrm>
                      <a:off x="0" y="0"/>
                      <a:ext cx="5760000" cy="4671000"/>
                    </a:xfrm>
                    <a:prstGeom prst="rect"/>
                  </pic:spPr>
                </pic:pic>
              </a:graphicData>
            </a:graphic>
          </wp:inline>
        </w:drawing>
      </w:r>
    </w:p>
    <w:p>
      <w:pPr>
        <w:pStyle w:val="Caption2"/>
        <w:jc w:val="center"/>
      </w:pPr>
      <w:r>
        <w:t>[그림 8]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문장으로 묻는 AI 자연어 검색·추천·브라우저 체험(SFR-004~006) — 품질은 대표 질의 30건으로 검증(QUR-003)</w:t>
            </w:r>
          </w:p>
        </w:tc>
      </w:tr>
      <w:tr>
        <w:tc>
          <w:tcPr>
            <w:tcW w:type="dxa" w:w="9638"/>
          </w:tcPr>
          <w:p>
            <w:r/>
            <w:r>
              <w:rPr>
                <w:rFonts w:ascii="맑은 고딕" w:hAnsi="맑은 고딕" w:eastAsia="맑은 고딕"/>
                <w:sz w:val="19"/>
              </w:rPr>
              <w:t>스킬 40종 + 15시간 직무연수 1기수 + 안내 영상 5편 — 연수 산출물이 신규 콘텐츠가 되는 순환 구조</w:t>
            </w:r>
          </w:p>
        </w:tc>
      </w:tr>
      <w:tr>
        <w:tc>
          <w:tcPr>
            <w:tcW w:type="dxa" w:w="9638"/>
          </w:tcPr>
          <w:p>
            <w:r/>
            <w:r>
              <w:rPr>
                <w:rFonts w:ascii="맑은 고딕" w:hAnsi="맑은 고딕" w:eastAsia="맑은 고딕"/>
                <w:sz w:val="19"/>
              </w:rPr>
              <w:t>준공 후 12개월 유지관리 내장 — 월간 보고·분기 점검·스킬 15종 무상 갱신(PMR-002)</w:t>
            </w:r>
          </w:p>
        </w:tc>
      </w:tr>
    </w:tbl>
    <w:p>
      <w:pPr>
        <w:pStyle w:val="Note"/>
      </w:pPr>
    </w:p>
    <w:p>
      <w:pPr>
        <w:pStyle w:val="Note"/>
      </w:pPr>
      <w:r>
        <w:t>산출 총괄: SW 개발비 25,828,846원(30.8FP, KOSA 기능점수 간이법) + 콘텐츠·연수·직접경비 17,550,000원 + 이윤 1,621,154원(6.3% — 법정 한도 25% 이내) = 공급가액 45,000,000원, 부가세 포함 49,500,000원. 상세는 안별 제안서 Ⅶ장 산출내역서 참조.</w:t>
      </w:r>
    </w:p>
    <w:p>
      <w:r>
        <w:br w:type="page"/>
      </w:r>
    </w:p>
    <w:p>
      <w:pPr>
        <w:pStyle w:val="Heading1"/>
      </w:pPr>
      <w:r>
        <w:t>공통 수행 역량·조건</w:t>
      </w:r>
    </w:p>
    <w:p>
      <w:pPr/>
      <w:r>
        <w:t>코드코리아는 소프트웨어교육 업태와 응용소프트웨어 개발·공급 업태를 함께 등록한 부산 금정구 소재 여성기업으로, 콘텐츠 제작과 시스템 개발을 단일 팀으로 수행합니다. 세 안 공통으로 — 부산 관내 당일 대면 대응, 격주 이상 서면 진행 공유, KWCAG 2.2 자가진단, SW 개발보안 진단·조치, 개통 전 웹 취약점 점검, 가명 데이터 기반 시험을 이행합니다.</w:t>
      </w:r>
    </w:p>
    <w:p>
      <w:pPr>
        <w:jc w:val="center"/>
      </w:pPr>
      <w:r>
        <w:drawing>
          <wp:inline xmlns:a="http://schemas.openxmlformats.org/drawingml/2006/main" xmlns:pic="http://schemas.openxmlformats.org/drawingml/2006/picture">
            <wp:extent cx="5760000" cy="3384000"/>
            <wp:docPr id="10" name="Picture 10"/>
            <wp:cNvGraphicFramePr>
              <a:graphicFrameLocks noChangeAspect="1"/>
            </wp:cNvGraphicFramePr>
            <a:graphic>
              <a:graphicData uri="http://schemas.openxmlformats.org/drawingml/2006/picture">
                <pic:pic>
                  <pic:nvPicPr>
                    <pic:cNvPr id="0" name="landscape.png"/>
                    <pic:cNvPicPr/>
                  </pic:nvPicPr>
                  <pic:blipFill>
                    <a:blip r:embed="rId19"/>
                    <a:stretch>
                      <a:fillRect/>
                    </a:stretch>
                  </pic:blipFill>
                  <pic:spPr>
                    <a:xfrm>
                      <a:off x="0" y="0"/>
                      <a:ext cx="5760000" cy="3384000"/>
                    </a:xfrm>
                    <a:prstGeom prst="rect"/>
                  </pic:spPr>
                </pic:pic>
              </a:graphicData>
            </a:graphic>
          </wp:inline>
        </w:drawing>
      </w:r>
    </w:p>
    <w:p>
      <w:pPr>
        <w:pStyle w:val="Caption2"/>
        <w:jc w:val="center"/>
      </w:pPr>
      <w:r>
        <w:t>[그림 9] 부산은 AI 도구 계층을 전국 최고 수준으로 갖췄다 — 본 사업은 그 위의 지식 계층 공백을 채운다</w:t>
      </w:r>
    </w:p>
    <w:p>
      <w:pPr>
        <w:jc w:val="center"/>
      </w:pPr>
      <w:r>
        <w:drawing>
          <wp:inline xmlns:a="http://schemas.openxmlformats.org/drawingml/2006/main" xmlns:pic="http://schemas.openxmlformats.org/drawingml/2006/picture">
            <wp:extent cx="5760000" cy="3483000"/>
            <wp:docPr id="11" name="Picture 11"/>
            <wp:cNvGraphicFramePr>
              <a:graphicFrameLocks noChangeAspect="1"/>
            </wp:cNvGraphicFramePr>
            <a:graphic>
              <a:graphicData uri="http://schemas.openxmlformats.org/drawingml/2006/picture">
                <pic:pic>
                  <pic:nvPicPr>
                    <pic:cNvPr id="0" name="seeding.png"/>
                    <pic:cNvPicPr/>
                  </pic:nvPicPr>
                  <pic:blipFill>
                    <a:blip r:embed="rId20"/>
                    <a:stretch>
                      <a:fillRect/>
                    </a:stretch>
                  </pic:blipFill>
                  <pic:spPr>
                    <a:xfrm>
                      <a:off x="0" y="0"/>
                      <a:ext cx="5760000" cy="3483000"/>
                    </a:xfrm>
                    <a:prstGeom prst="rect"/>
                  </pic:spPr>
                </pic:pic>
              </a:graphicData>
            </a:graphic>
          </wp:inline>
        </w:drawing>
      </w:r>
    </w:p>
    <w:p>
      <w:pPr>
        <w:pStyle w:val="Caption2"/>
        <w:jc w:val="center"/>
      </w:pPr>
      <w:r>
        <w:t>[그림 10] 검증된 시드 저자군에서 시작해 관내 교원 25,579명으로 확산한다</w:t>
      </w:r>
    </w:p>
    <w:p>
      <w:pPr>
        <w:pStyle w:val="Heading1"/>
      </w:pPr>
      <w:r>
        <w:t>안 선택 가이드</w:t>
      </w:r>
    </w:p>
    <w:tbl>
      <w:tblPr>
        <w:tblStyle w:val="TableGrid"/>
        <w:tblW w:type="auto" w:w="0"/>
        <w:jc w:val="center"/>
        <w:tblLook w:firstColumn="1" w:firstRow="1" w:lastColumn="0" w:lastRow="0" w:noHBand="0" w:noVBand="1" w:val="04A0"/>
      </w:tblPr>
      <w:tblGrid>
        <w:gridCol w:w="3213"/>
        <w:gridCol w:w="3213"/>
        <w:gridCol w:w="3213"/>
      </w:tblGrid>
      <w:tr>
        <w:tc>
          <w:tcPr>
            <w:tcW w:type="dxa" w:w="4217"/>
            <w:shd w:val="clear" w:fill="1F3A5F"/>
          </w:tcPr>
          <w:p>
            <w:r/>
            <w:r>
              <w:rPr>
                <w:rFonts w:ascii="맑은 고딕" w:hAnsi="맑은 고딕" w:eastAsia="맑은 고딕"/>
                <w:b/>
                <w:color w:val="FFFFFF"/>
                <w:sz w:val="19"/>
              </w:rPr>
              <w:t>발주기관의 우선순위가 …라면</w:t>
            </w:r>
          </w:p>
        </w:tc>
        <w:tc>
          <w:tcPr>
            <w:tcW w:type="dxa" w:w="1566"/>
            <w:shd w:val="clear" w:fill="1F3A5F"/>
          </w:tcPr>
          <w:p>
            <w:r/>
            <w:r>
              <w:rPr>
                <w:rFonts w:ascii="맑은 고딕" w:hAnsi="맑은 고딕" w:eastAsia="맑은 고딕"/>
                <w:b/>
                <w:color w:val="FFFFFF"/>
                <w:sz w:val="19"/>
              </w:rPr>
              <w:t>권장 안</w:t>
            </w:r>
          </w:p>
        </w:tc>
        <w:tc>
          <w:tcPr>
            <w:tcW w:type="dxa" w:w="3855"/>
            <w:shd w:val="clear" w:fill="1F3A5F"/>
          </w:tcPr>
          <w:p>
            <w:r/>
            <w:r>
              <w:rPr>
                <w:rFonts w:ascii="맑은 고딕" w:hAnsi="맑은 고딕" w:eastAsia="맑은 고딕"/>
                <w:b/>
                <w:color w:val="FFFFFF"/>
                <w:sz w:val="19"/>
              </w:rPr>
              <w:t>이유</w:t>
            </w:r>
          </w:p>
        </w:tc>
      </w:tr>
      <w:tr>
        <w:tc>
          <w:tcPr>
            <w:tcW w:type="dxa" w:w="4217"/>
          </w:tcPr>
          <w:p>
            <w:r/>
            <w:r>
              <w:rPr>
                <w:rFonts w:ascii="맑은 고딕" w:hAnsi="맑은 고딕" w:eastAsia="맑은 고딕"/>
                <w:sz w:val="19"/>
              </w:rPr>
              <w:t>올해 예산 안에서 기반을 먼저 확보하고 수요를 확인</w:t>
            </w:r>
          </w:p>
        </w:tc>
        <w:tc>
          <w:tcPr>
            <w:tcW w:type="dxa" w:w="1566"/>
          </w:tcPr>
          <w:p>
            <w:r/>
            <w:r>
              <w:rPr>
                <w:rFonts w:ascii="맑은 고딕" w:hAnsi="맑은 고딕" w:eastAsia="맑은 고딕"/>
                <w:sz w:val="19"/>
              </w:rPr>
              <w:t>기본안(A)</w:t>
            </w:r>
          </w:p>
        </w:tc>
        <w:tc>
          <w:tcPr>
            <w:tcW w:type="dxa" w:w="3855"/>
          </w:tcPr>
          <w:p>
            <w:r/>
            <w:r>
              <w:rPr>
                <w:rFonts w:ascii="맑은 고딕" w:hAnsi="맑은 고딕" w:eastAsia="맑은 고딕"/>
                <w:sz w:val="19"/>
              </w:rPr>
              <w:t>8주 개통 + 이용 통계로 차년도 고도화 근거 확보</w:t>
            </w:r>
          </w:p>
        </w:tc>
      </w:tr>
      <w:tr>
        <w:tc>
          <w:tcPr>
            <w:tcW w:type="dxa" w:w="4217"/>
          </w:tcPr>
          <w:p>
            <w:r/>
            <w:r>
              <w:rPr>
                <w:rFonts w:ascii="맑은 고딕" w:hAnsi="맑은 고딕" w:eastAsia="맑은 고딕"/>
                <w:sz w:val="19"/>
              </w:rPr>
              <w:t>교원 참여로 자료가 스스로 성장하는 구조</w:t>
            </w:r>
          </w:p>
        </w:tc>
        <w:tc>
          <w:tcPr>
            <w:tcW w:type="dxa" w:w="1566"/>
          </w:tcPr>
          <w:p>
            <w:r/>
            <w:r>
              <w:rPr>
                <w:rFonts w:ascii="맑은 고딕" w:hAnsi="맑은 고딕" w:eastAsia="맑은 고딕"/>
                <w:sz w:val="19"/>
              </w:rPr>
              <w:t>확장안(B)</w:t>
            </w:r>
          </w:p>
        </w:tc>
        <w:tc>
          <w:tcPr>
            <w:tcW w:type="dxa" w:w="3855"/>
          </w:tcPr>
          <w:p>
            <w:r/>
            <w:r>
              <w:rPr>
                <w:rFonts w:ascii="맑은 고딕" w:hAnsi="맑은 고딕" w:eastAsia="맑은 고딕"/>
                <w:sz w:val="19"/>
              </w:rPr>
              <w:t>평점·후기·버전 관리가 활용도 중심 성장을 만든다</w:t>
            </w:r>
          </w:p>
        </w:tc>
      </w:tr>
      <w:tr>
        <w:tc>
          <w:tcPr>
            <w:tcW w:type="dxa" w:w="4217"/>
          </w:tcPr>
          <w:p>
            <w:r/>
            <w:r>
              <w:rPr>
                <w:rFonts w:ascii="맑은 고딕" w:hAnsi="맑은 고딕" w:eastAsia="맑은 고딕"/>
                <w:sz w:val="19"/>
              </w:rPr>
              <w:t>공약 실행 모델을 올해 완성하고 개통 후 1년을 보장</w:t>
            </w:r>
          </w:p>
        </w:tc>
        <w:tc>
          <w:tcPr>
            <w:tcW w:type="dxa" w:w="1566"/>
          </w:tcPr>
          <w:p>
            <w:r/>
            <w:r>
              <w:rPr>
                <w:rFonts w:ascii="맑은 고딕" w:hAnsi="맑은 고딕" w:eastAsia="맑은 고딕"/>
                <w:sz w:val="19"/>
              </w:rPr>
              <w:t>완성안(C)</w:t>
            </w:r>
          </w:p>
        </w:tc>
        <w:tc>
          <w:tcPr>
            <w:tcW w:type="dxa" w:w="3855"/>
          </w:tcPr>
          <w:p>
            <w:r/>
            <w:r>
              <w:rPr>
                <w:rFonts w:ascii="맑은 고딕" w:hAnsi="맑은 고딕" w:eastAsia="맑은 고딕"/>
                <w:sz w:val="19"/>
              </w:rPr>
              <w:t>AI 검색·연수·12개월 유지관리 결합 — 'AI 교수학습지원센터 구축' 실행 모델</w:t>
            </w:r>
          </w:p>
        </w:tc>
      </w:tr>
    </w:tbl>
    <w:p>
      <w:pPr>
        <w:pStyle w:val="Note"/>
      </w:pPr>
    </w:p>
    <w:p>
      <w:pPr/>
      <w:r>
        <w:t>세 안 모두 완성안 방향의 확장을 전제로 설계되어, 어느 안으로 시작해도 이후 단계로 이어집니다. 안 확정 후 7일 이내에 확정안 기준 사업수행계획서와 착수계 일습을 제출합니다.</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