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a.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아카이브 구축으로 이 공백을 채웁니다. "AI 시대를 선도하는 인간중심 미래교육"(부산광역시교육청 2026년 주요업무계획, 4대 역점과제 제1과제)과 교육감 공약 'AI 교수학습지원센터 구축'의 첫 단계 실행 인프라를 8주 안에 개통하고, 검증된 교육용 AI 스킬 10종을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아카이브 시스템 개발 / 교육용 AI 스킬 콘텐츠 제작 / 배포 및 안정화</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8주 이내(약 2개월)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21,450,000원(부가세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10종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전체(15개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분류체계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키워드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이용 통계 조회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반응형 화면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최소수집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A안은 이 공백을 최소 기능 범위로 신속히 채우는 1단계 기반 구축입니다. 로그인 없는 공개 아카이브로 즉시 이용 장벽을 없애고, 이용 통계로 차년도 고도화의 우선순위를 데이터로 확보합니다.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8주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10종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bl>
    <w:p>
      <w:pPr>
        <w:pStyle w:val="Note"/>
      </w:pPr>
    </w:p>
    <w:p>
      <w:pPr>
        <w:pStyle w:val="Heading2"/>
      </w:pPr>
      <w:r>
        <w:t>Ⅱ-7. 개발 방법론</w:t>
      </w:r>
    </w:p>
    <w:p>
      <w:pPr/>
      <w:r>
        <w:t>본 사업 규모(총 사업기간 8주)에서는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3889688"/>
            <wp:docPr id="6" name="Picture 6"/>
            <wp:cNvGraphicFramePr>
              <a:graphicFrameLocks noChangeAspect="1"/>
            </wp:cNvGraphicFramePr>
            <a:graphic>
              <a:graphicData uri="http://schemas.openxmlformats.org/drawingml/2006/picture">
                <pic:pic>
                  <pic:nvPicPr>
                    <pic:cNvPr id="0" name="arch_a.png"/>
                    <pic:cNvPicPr/>
                  </pic:nvPicPr>
                  <pic:blipFill>
                    <a:blip r:embed="rId15"/>
                    <a:stretch>
                      <a:fillRect/>
                    </a:stretch>
                  </pic:blipFill>
                  <pic:spPr>
                    <a:xfrm>
                      <a:off x="0" y="0"/>
                      <a:ext cx="5400000" cy="3889688"/>
                    </a:xfrm>
                    <a:prstGeom prst="rect"/>
                  </pic:spPr>
                </pic:pic>
              </a:graphicData>
            </a:graphic>
          </wp:inline>
        </w:drawing>
      </w:r>
    </w:p>
    <w:p>
      <w:pPr>
        <w:pStyle w:val="Caption2"/>
        <w:jc w:val="center"/>
      </w:pPr>
      <w:r>
        <w:t>[그림 5] 로그인 없는 3계층 경량 구조로 8주 안에 안정 개통한다 (SIR-001 · SIR-002 · SER-002)</w:t>
      </w:r>
    </w:p>
    <w:p>
      <w:pPr>
        <w:pStyle w:val="Heading2"/>
      </w:pPr>
      <w:r>
        <w:t>Ⅲ-2. 기능 요구사항 구현방안 — 교원이 검색 한 번으로 스킬에 도달하는 아카이브</w:t>
      </w:r>
    </w:p>
    <w:p>
      <w:pPr>
        <w:pStyle w:val="Heading3"/>
      </w:pPr>
      <w:r>
        <w:t>가. 스킬 탐색 — 목록·분류·검색</w:t>
      </w:r>
    </w:p>
    <w:p>
      <w:pPr>
        <w:pStyle w:val="IdBadge"/>
        <w:shd w:val="clear" w:fill="EEF2F7"/>
      </w:pPr>
      <w:r>
        <w:t>[대응 요구사항: SFR-001 · SFR-002 · SFR-003]</w:t>
      </w:r>
    </w:p>
    <w:p>
      <w:pPr/>
      <w:r>
        <w:t>요구 분석 — 교원은 분류 체계가 아니라 '지금 할 일'로 자료를 찾는다. 목록·분류·검색이 같은 데이터를 참조해야 어느 경로로 들어와도 같은 스킬에 도달한다.</w:t>
      </w:r>
    </w:p>
    <w:p>
      <w:pPr/>
      <w:r>
        <w:t>· 목록 화면은 학교급·업무유형 2축 필터 칩과 최신순·다운로드순 정렬, 페이징을 제공한다(SFR-001·002).</w:t>
      </w:r>
    </w:p>
    <w:p>
      <w:pPr/>
      <w:r>
        <w:t>· 키워드 검색은 제목·본문·태그를 대상으로 하고 검색 결과에도 동일한 정렬을 적용한다(SFR-003).</w:t>
      </w:r>
    </w:p>
    <w:p>
      <w:pPr/>
      <w:r>
        <w:t>· 분류·태그는 관리자 등록 화면에서 부여하며, 등록 시 필수 입력으로 강제해 미분류 스킬이 생기지 않게 한다.</w:t>
      </w:r>
    </w:p>
    <w:p>
      <w:pPr>
        <w:pStyle w:val="Note"/>
      </w:pPr>
      <w:r>
        <w:t>적용 기술: 서버 렌더링 웹 화면 + RDB 전문 검색 색인</w:t>
      </w:r>
    </w:p>
    <w:p>
      <w:pPr>
        <w:jc w:val="center"/>
      </w:pPr>
      <w:r>
        <w:drawing>
          <wp:inline xmlns:a="http://schemas.openxmlformats.org/drawingml/2006/main" xmlns:pic="http://schemas.openxmlformats.org/drawingml/2006/picture">
            <wp:extent cx="5400000" cy="4090500"/>
            <wp:docPr id="7" name="Picture 7"/>
            <wp:cNvGraphicFramePr>
              <a:graphicFrameLocks noChangeAspect="1"/>
            </wp:cNvGraphicFramePr>
            <a:graphic>
              <a:graphicData uri="http://schemas.openxmlformats.org/drawingml/2006/picture">
                <pic:pic>
                  <pic:nvPicPr>
                    <pic:cNvPr id="0" name="a_main.png"/>
                    <pic:cNvPicPr/>
                  </pic:nvPicPr>
                  <pic:blipFill>
                    <a:blip r:embed="rId16"/>
                    <a:stretch>
                      <a:fillRect/>
                    </a:stretch>
                  </pic:blipFill>
                  <pic:spPr>
                    <a:xfrm>
                      <a:off x="0" y="0"/>
                      <a:ext cx="5400000" cy="4090500"/>
                    </a:xfrm>
                    <a:prstGeom prst="rect"/>
                  </pic:spPr>
                </pic:pic>
              </a:graphicData>
            </a:graphic>
          </wp:inline>
        </w:drawing>
      </w:r>
    </w:p>
    <w:p>
      <w:pPr>
        <w:pStyle w:val="Caption2"/>
        <w:jc w:val="center"/>
      </w:pPr>
      <w:r>
        <w:t>[그림 6] 교원이 로그인 없이 검색 한 번으로 필요한 스킬에 도달한다 (SFR-001 · SFR-003 · SER-002)</w:t>
      </w:r>
    </w:p>
    <w:p>
      <w:pPr>
        <w:pStyle w:val="Heading3"/>
      </w:pPr>
      <w:r>
        <w:t>나. 스킬 상세·내려받기</w:t>
      </w:r>
    </w:p>
    <w:p>
      <w:pPr>
        <w:pStyle w:val="IdBadge"/>
        <w:shd w:val="clear" w:fill="EEF2F7"/>
      </w:pPr>
      <w:r>
        <w:t>[대응 요구사항: SFR-001 · SFR-004]</w:t>
      </w:r>
    </w:p>
    <w:p>
      <w:pPr/>
      <w:r>
        <w:t>요구 분석 — 상세 화면의 표준 서식이 곧 콘텐츠 품질 관리 장치다. 서식이 화면 구조로 강제되면 어떤 스킬을 열어도 같은 위치에서 같은 정보를 찾는다.</w:t>
      </w:r>
    </w:p>
    <w:p>
      <w:pPr/>
      <w:r>
        <w:t>· 상세 화면은 활용 목적 · 대상 학교급·교과 · 사용 절차 · 입력 예시 · 출력 예시 · 유의사항(개인정보·저작권·검증 책임) 6개 섹션을 고정 표기한다(SFR-001).</w:t>
      </w:r>
    </w:p>
    <w:p>
      <w:pPr/>
      <w:r>
        <w:t>· 스킬 파일(.zip 또는 텍스트) 내려받기와 본문 복사 버튼을 제공하고, 다운로드 수를 집계한다(SFR-004).</w:t>
      </w:r>
    </w:p>
    <w:p>
      <w:pPr/>
      <w:r>
        <w:t>· 유의사항 섹션은 경고 박스로 항상 노출해 '교사 검토 후 사용' 원칙을 화면에서 상기시킨다.</w:t>
      </w:r>
    </w:p>
    <w:p>
      <w:pPr>
        <w:pStyle w:val="Note"/>
      </w:pPr>
      <w:r>
        <w:t>적용 기술: 표준 서식 데이터 구조 + 파일 저장소</w:t>
      </w:r>
    </w:p>
    <w:p>
      <w:pPr>
        <w:jc w:val="center"/>
      </w:pPr>
      <w:r>
        <w:drawing>
          <wp:inline xmlns:a="http://schemas.openxmlformats.org/drawingml/2006/main" xmlns:pic="http://schemas.openxmlformats.org/drawingml/2006/picture">
            <wp:extent cx="4680000" cy="3741876"/>
            <wp:docPr id="8" name="Picture 8"/>
            <wp:cNvGraphicFramePr>
              <a:graphicFrameLocks noChangeAspect="1"/>
            </wp:cNvGraphicFramePr>
            <a:graphic>
              <a:graphicData uri="http://schemas.openxmlformats.org/drawingml/2006/picture">
                <pic:pic>
                  <pic:nvPicPr>
                    <pic:cNvPr id="0" name="a_detail.png"/>
                    <pic:cNvPicPr/>
                  </pic:nvPicPr>
                  <pic:blipFill>
                    <a:blip r:embed="rId17"/>
                    <a:stretch>
                      <a:fillRect/>
                    </a:stretch>
                  </pic:blipFill>
                  <pic:spPr>
                    <a:xfrm>
                      <a:off x="0" y="0"/>
                      <a:ext cx="4680000" cy="3741876"/>
                    </a:xfrm>
                    <a:prstGeom prst="rect"/>
                  </pic:spPr>
                </pic:pic>
              </a:graphicData>
            </a:graphic>
          </wp:inline>
        </w:drawing>
      </w:r>
    </w:p>
    <w:p>
      <w:pPr>
        <w:pStyle w:val="Caption2"/>
        <w:jc w:val="center"/>
      </w:pPr>
      <w:r>
        <w:t>[그림 7] 표준 서식 상세 화면 — 목적·절차·예시·유의사항을 한 화면에서 확인하고 내려받는다 (SFR-001 · SFR-004)</w:t>
      </w:r>
    </w:p>
    <w:p>
      <w:pPr>
        <w:pStyle w:val="Heading3"/>
      </w:pPr>
      <w:r>
        <w:t>다. 공지사항·이용안내</w:t>
      </w:r>
    </w:p>
    <w:p>
      <w:pPr>
        <w:pStyle w:val="IdBadge"/>
        <w:shd w:val="clear" w:fill="EEF2F7"/>
      </w:pPr>
      <w:r>
        <w:t>[대응 요구사항: SFR-005]</w:t>
      </w:r>
    </w:p>
    <w:p>
      <w:pPr/>
      <w:r>
        <w:t>요구 분석 — 운영 공지와 안전 사용 기준이 자료와 같은 곳에 있어야 현장 적용 시점에 참조된다.</w:t>
      </w:r>
    </w:p>
    <w:p>
      <w:pPr/>
      <w:r>
        <w:t>· 공지 등록·게시와 이용안내 정적 페이지를 제공한다(SFR-005).</w:t>
      </w:r>
    </w:p>
    <w:p>
      <w:pPr/>
      <w:r>
        <w:t>· 이용안내에 개인정보·저작권 유의 기준을 상시 게시해 스킬 상세의 유의사항과 연결한다.</w:t>
      </w:r>
    </w:p>
    <w:p>
      <w:pPr>
        <w:pStyle w:val="Note"/>
      </w:pPr>
      <w:r>
        <w:t>적용 기술: 관리자 공지 등록 + 정적 페이지</w:t>
      </w:r>
    </w:p>
    <w:p>
      <w:pPr>
        <w:pStyle w:val="Heading3"/>
      </w:pPr>
      <w:r>
        <w:t>라. 관리자 — 콘텐츠·통계</w:t>
      </w:r>
    </w:p>
    <w:p>
      <w:pPr>
        <w:pStyle w:val="IdBadge"/>
        <w:shd w:val="clear" w:fill="EEF2F7"/>
      </w:pPr>
      <w:r>
        <w:t>[대응 요구사항: SFR-006 · SFR-007]</w:t>
      </w:r>
    </w:p>
    <w:p>
      <w:pPr/>
      <w:r>
        <w:t>요구 분석 — 발주기관 담당자가 개통 이후 직접 운영해야 하므로, 관리 화면의 단순함이 지속 운영의 조건이다.</w:t>
      </w:r>
    </w:p>
    <w:p>
      <w:pPr/>
      <w:r>
        <w:t>· 스킬 등록·수정·삭제·게시 전환·노출 순서 조정과 배너 관리를 제공한다(SFR-006).</w:t>
      </w:r>
    </w:p>
    <w:p>
      <w:pPr/>
      <w:r>
        <w:t>· 스킬별 조회수·다운로드수를 기간별로 집계 조회한다(SFR-007) — 차년도 고도화의 근거 데이터가 된다.</w:t>
      </w:r>
    </w:p>
    <w:p>
      <w:pPr/>
      <w:r>
        <w:t>· 관리자 계정은 발주기관 지정 담당자에게 2개 이상 발급한다.</w:t>
      </w:r>
    </w:p>
    <w:p>
      <w:pPr>
        <w:pStyle w:val="Note"/>
      </w:pPr>
      <w:r>
        <w:t>적용 기술: 권한 분리된 관리자 화면 + 집계 쿼리</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a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관리자가 스킬별 조회·다운로드 현황을 기간별로 확인한다 (SFR-006 · SFR-007)</w:t>
      </w:r>
    </w:p>
    <w:p>
      <w:pPr>
        <w:pStyle w:val="Heading3"/>
      </w:pPr>
      <w:r>
        <w:t>마. 반응형·무로그인 설계</w:t>
      </w:r>
    </w:p>
    <w:p>
      <w:pPr>
        <w:pStyle w:val="IdBadge"/>
        <w:shd w:val="clear" w:fill="EEF2F7"/>
      </w:pPr>
      <w:r>
        <w:t>[대응 요구사항: SFR-008 · SER-002]</w:t>
      </w:r>
    </w:p>
    <w:p>
      <w:pPr/>
      <w:r>
        <w:t>요구 분석 — 교무실 PC와 교실 태블릿·개인 휴대전화를 오가는 이용 흐름에서, 로그인 장벽이 없는 것이 초기 확산의 결정 요인이다.</w:t>
      </w:r>
    </w:p>
    <w:p>
      <w:pPr/>
      <w:r>
        <w:t>· PC·태블릿·모바일 대응 반응형 레이아웃으로 개발한다(SFR-008).</w:t>
      </w:r>
    </w:p>
    <w:p>
      <w:pPr/>
      <w:r>
        <w:t>· 이용자 로그인·개인정보 수집 없이 전 기능을 제공한다(SER-002) — 개인정보 리스크를 원천 배제한 설계다.</w:t>
      </w:r>
    </w:p>
    <w:p>
      <w:pPr>
        <w:pStyle w:val="Note"/>
      </w:pPr>
      <w:r>
        <w:t>적용 기술: 모바일 우선 반응형 CSS + 무상태 이용자 화면</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6개월분 클라우드 이용료·도메인 비용을 사업비에 포함했습니다(Ⅶ장 산출내역). 백업은 일 1회 자동 수행하고 7일분을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 + Nginx(공용 클라우드). 전자정부 표준프레임워크는 '우선 적용 고려' 대상이나 본 사업 규모(총 19.4FP)에서는 경량 스택이 구축·운영 비용을 줄이므로 미채택하고, 그 사유와 함께 표준화된 배포 문서·컨테이너 구성으로 운영 인력 호환성을 확보한다(Ⅲ-5 판정표 참조).</w:t>
      </w:r>
    </w:p>
    <w:p>
      <w:pPr>
        <w:pStyle w:val="Heading2"/>
      </w:pPr>
      <w:r>
        <w:t>Ⅲ-4. 데이터 설계</w:t>
      </w:r>
    </w:p>
    <w:p>
      <w:pPr>
        <w:pStyle w:val="IdBadge"/>
        <w:shd w:val="clear" w:fill="EEF2F7"/>
      </w:pPr>
      <w:r>
        <w:t>[대응 요구사항: SFR-002]</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bl>
    <w:p>
      <w:pPr>
        <w:pStyle w:val="Note"/>
      </w:pPr>
    </w:p>
    <w:p>
      <w:pPr/>
      <w:r>
        <w:t>2축 분류와 자유 태그를 함께 부여해 목록 필터와 키워드 검색이 같은 데이터를 참조합니다.</w:t>
      </w:r>
    </w:p>
    <w:p>
      <w:pPr/>
      <w:r>
        <w:t>스킬 본문은 표준 서식(활용 목적 · 대상 · 사용 절차 · 입력 예시 · 출력 예시 · 유의사항)을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개인정보 자체를 수집하지 않는 설계로 원천 배제</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해당 없음 — 개인정보 미수집</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이용자 개인정보를 수집하지 않아 수탁 처리가 발생하지 않음</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Ⅲ-4의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10종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3종, 평가·피드백 3종, 학급 경영 2종, 교육행정 문서 2종 — 최종 배분은 교원 요구조사(20명 이상) 결과를 반영해 발주기관과 협의 확정합니다. 각 스킬은 상용 생성형 AI 2종 이상에서 동작을 확인해 결과를 기록하고, 현직 교원 2인 이상의 검수를 거쳐 게시합니다. 학생 개인정보 입력을 유도하는 내용은 표준 서식 검수 단계에서 배제합니다.</w:t>
      </w:r>
    </w:p>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명가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447000"/>
            <wp:docPr id="11" name="Picture 11"/>
            <wp:cNvGraphicFramePr>
              <a:graphicFrameLocks noChangeAspect="1"/>
            </wp:cNvGraphicFramePr>
            <a:graphic>
              <a:graphicData uri="http://schemas.openxmlformats.org/drawingml/2006/picture">
                <pic:pic>
                  <pic:nvPicPr>
                    <pic:cNvPr id="0" name="gantt_a.png"/>
                    <pic:cNvPicPr/>
                  </pic:nvPicPr>
                  <pic:blipFill>
                    <a:blip r:embed="rId20"/>
                    <a:stretch>
                      <a:fillRect/>
                    </a:stretch>
                  </pic:blipFill>
                  <pic:spPr>
                    <a:xfrm>
                      <a:off x="0" y="0"/>
                      <a:ext cx="5760000" cy="3447000"/>
                    </a:xfrm>
                    <a:prstGeom prst="rect"/>
                  </pic:spPr>
                </pic:pic>
              </a:graphicData>
            </a:graphic>
          </wp:inline>
        </w:drawing>
      </w:r>
    </w:p>
    <w:p>
      <w:pPr>
        <w:pStyle w:val="Caption2"/>
        <w:jc w:val="center"/>
      </w:pPr>
      <w:r>
        <w:t>[그림 10]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1~2주</w:t>
            </w:r>
          </w:p>
        </w:tc>
        <w:tc>
          <w:tcPr>
            <w:tcW w:type="dxa" w:w="5301"/>
          </w:tcPr>
          <w:p>
            <w:r/>
            <w:r>
              <w:rPr>
                <w:rFonts w:ascii="맑은 고딕" w:hAnsi="맑은 고딕" w:eastAsia="맑은 고딕"/>
                <w:sz w:val="19"/>
              </w:rPr>
              <w:t>착수보고, 사례조사(5개 이상), 교원 요구조사(20명 이상)</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3주</w:t>
            </w:r>
          </w:p>
        </w:tc>
        <w:tc>
          <w:tcPr>
            <w:tcW w:type="dxa" w:w="5301"/>
          </w:tcPr>
          <w:p>
            <w:r/>
            <w:r>
              <w:rPr>
                <w:rFonts w:ascii="맑은 고딕" w:hAnsi="맑은 고딕" w:eastAsia="맑은 고딕"/>
                <w:sz w:val="19"/>
              </w:rPr>
              <w:t>정보구조 설계, 화면설계서 작성 및 발주기관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4~6주</w:t>
            </w:r>
          </w:p>
        </w:tc>
        <w:tc>
          <w:tcPr>
            <w:tcW w:type="dxa" w:w="5301"/>
          </w:tcPr>
          <w:p>
            <w:r/>
            <w:r>
              <w:rPr>
                <w:rFonts w:ascii="맑은 고딕" w:hAnsi="맑은 고딕" w:eastAsia="맑은 고딕"/>
                <w:sz w:val="19"/>
              </w:rPr>
              <w:t>이용자 화면·관리자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스킬 10종 제작 및 현직 교원 2인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7주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안정화 및 준공</w:t>
            </w:r>
          </w:p>
        </w:tc>
        <w:tc>
          <w:tcPr>
            <w:tcW w:type="dxa" w:w="1446"/>
          </w:tcPr>
          <w:p>
            <w:r/>
            <w:r>
              <w:rPr>
                <w:rFonts w:ascii="맑은 고딕" w:hAnsi="맑은 고딕" w:eastAsia="맑은 고딕"/>
                <w:sz w:val="19"/>
              </w:rPr>
              <w:t>8주</w:t>
            </w:r>
          </w:p>
        </w:tc>
        <w:tc>
          <w:tcPr>
            <w:tcW w:type="dxa" w:w="5301"/>
          </w:tcPr>
          <w:p>
            <w:r/>
            <w:r>
              <w:rPr>
                <w:rFonts w:ascii="맑은 고딕" w:hAnsi="맑은 고딕" w:eastAsia="맑은 고딕"/>
                <w:sz w:val="19"/>
              </w:rPr>
              <w:t>인수인계 교육(2시간 이상), 매뉴얼 제출,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5년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개발 경력 3년 이상</w:t>
            </w:r>
          </w:p>
        </w:tc>
        <w:tc>
          <w:tcPr>
            <w:tcW w:type="dxa" w:w="2771"/>
          </w:tcPr>
          <w:p>
            <w:r/>
            <w:r>
              <w:rPr>
                <w:rFonts w:ascii="맑은 고딕" w:hAnsi="맑은 고딕" w:eastAsia="맑은 고딕"/>
                <w:sz w:val="19"/>
              </w:rPr>
              <w:t>이용자·관리자 기능 개발</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8주 압축 일정에서의 범위 증가</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화면설계서 승인 시점에 범위를 동결하고 추가 요구는 서면 협의로 변경 관리(PM)</w:t>
            </w:r>
          </w:p>
        </w:tc>
        <w:tc>
          <w:tcPr>
            <w:tcW w:type="dxa" w:w="2029"/>
          </w:tcPr>
          <w:p>
            <w:r/>
            <w:r>
              <w:rPr>
                <w:rFonts w:ascii="맑은 고딕" w:hAnsi="맑은 고딕" w:eastAsia="맑은 고딕"/>
                <w:sz w:val="19"/>
              </w:rPr>
              <w:t>우선순위 협의로 필수 기능 우선 개통</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교육(2시간 이상, 1회)을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r>
        <w:t>인수인계 교육(관리자 기능 2시간 이상)과 이용자·관리자 매뉴얼 제출로 발주기관 자체 운영 체계를 확립합니다. 교원 대상 별도 연수는 A안 과업 범위에 없으므로, 이용안내 페이지와 스킬 표준 서식이 자가 학습을 대신하도록 구성합니다.</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3개월로 하며, 기간 중 발생하는 오류·장애는 통보 후 3일 이내에 무상으로 조치한다(과업지시서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교원 검수를 거친 표준 서식 등록 절차와 관리자 등록 기능 — 인수인계 교육에서 실습</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3개월 + 관리자 교육 + 매뉴얼로 발주기관 자체 운영 체계 확립</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공지·이용안내와 담당자 문의 창구 단일화</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19.4 FP × 605,784원 × 보정계수 1.167104</w:t>
            </w:r>
          </w:p>
        </w:tc>
        <w:tc>
          <w:tcPr>
            <w:tcW w:type="dxa" w:w="1662"/>
          </w:tcPr>
          <w:p>
            <w:r/>
            <w:r>
              <w:rPr>
                <w:rFonts w:ascii="맑은 고딕" w:hAnsi="맑은 고딕" w:eastAsia="맑은 고딕"/>
                <w:sz w:val="19"/>
              </w:rPr>
              <w:t>13,716,051</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검수)</w:t>
            </w:r>
          </w:p>
        </w:tc>
        <w:tc>
          <w:tcPr>
            <w:tcW w:type="dxa" w:w="3323"/>
          </w:tcPr>
          <w:p>
            <w:r/>
            <w:r>
              <w:rPr>
                <w:rFonts w:ascii="맑은 고딕" w:hAnsi="맑은 고딕" w:eastAsia="맑은 고딕"/>
                <w:sz w:val="19"/>
              </w:rPr>
              <w:t>10종 × 380,000원</w:t>
            </w:r>
          </w:p>
        </w:tc>
        <w:tc>
          <w:tcPr>
            <w:tcW w:type="dxa" w:w="1662"/>
          </w:tcPr>
          <w:p>
            <w:r/>
            <w:r>
              <w:rPr>
                <w:rFonts w:ascii="맑은 고딕" w:hAnsi="맑은 고딕" w:eastAsia="맑은 고딕"/>
                <w:sz w:val="19"/>
              </w:rPr>
              <w:t>3,800,000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클라우드 운영환경 이용료(준공 후 6개월, 도메인·SSL·백업 포함)</w:t>
            </w:r>
          </w:p>
        </w:tc>
        <w:tc>
          <w:tcPr>
            <w:tcW w:type="dxa" w:w="3323"/>
          </w:tcPr>
          <w:p>
            <w:r/>
            <w:r>
              <w:rPr>
                <w:rFonts w:ascii="맑은 고딕" w:hAnsi="맑은 고딕" w:eastAsia="맑은 고딕"/>
                <w:sz w:val="19"/>
              </w:rPr>
              <w:t>6월 × 140,000원</w:t>
            </w:r>
          </w:p>
        </w:tc>
        <w:tc>
          <w:tcPr>
            <w:tcW w:type="dxa" w:w="1662"/>
          </w:tcPr>
          <w:p>
            <w:r/>
            <w:r>
              <w:rPr>
                <w:rFonts w:ascii="맑은 고딕" w:hAnsi="맑은 고딕" w:eastAsia="맑은 고딕"/>
                <w:sz w:val="19"/>
              </w:rPr>
              <w:t>840,000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매뉴얼·보고서 인쇄(이용자·관리자 매뉴얼, 완료보고서 각 2부)</w:t>
            </w:r>
          </w:p>
        </w:tc>
        <w:tc>
          <w:tcPr>
            <w:tcW w:type="dxa" w:w="3323"/>
          </w:tcPr>
          <w:p>
            <w:r/>
            <w:r>
              <w:rPr>
                <w:rFonts w:ascii="맑은 고딕" w:hAnsi="맑은 고딕" w:eastAsia="맑은 고딕"/>
                <w:sz w:val="19"/>
              </w:rPr>
              <w:t>4부 × 27,500원</w:t>
            </w:r>
          </w:p>
        </w:tc>
        <w:tc>
          <w:tcPr>
            <w:tcW w:type="dxa" w:w="1662"/>
          </w:tcPr>
          <w:p>
            <w:r/>
            <w:r>
              <w:rPr>
                <w:rFonts w:ascii="맑은 고딕" w:hAnsi="맑은 고딕" w:eastAsia="맑은 고딕"/>
                <w:sz w:val="19"/>
              </w:rPr>
              <w:t>110,000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이윤 (개발원가의 7.17%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983,949</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21,450,000</w:t>
            </w:r>
          </w:p>
        </w:tc>
      </w:tr>
    </w:tbl>
    <w:p>
      <w:pPr>
        <w:pStyle w:val="Note"/>
      </w:pPr>
    </w:p>
    <w:p>
      <w:pPr/>
      <w:r>
        <w:t>총 계약금액 21,450,000원은 발주 예산과 일치하며, 항목 합계는 자동 검산을 거쳤습니다. 이윤율은 법정 한도(개발원가의 25%, 국가계약법 시행규칙 제8조) 대비 7.2%만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아카이브 코어</w:t>
            </w:r>
          </w:p>
        </w:tc>
        <w:tc>
          <w:tcPr>
            <w:tcW w:type="dxa" w:w="4755"/>
          </w:tcPr>
          <w:p>
            <w:r/>
            <w:r>
              <w:rPr>
                <w:rFonts w:ascii="맑은 고딕" w:hAnsi="맑은 고딕" w:eastAsia="맑은 고딕"/>
                <w:sz w:val="19"/>
              </w:rPr>
              <w:t>스킬 원장(학교급·업무유형 2축 분류, 태그)</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등록·수정·게시전환</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운영 관리(관리자)</w:t>
            </w:r>
          </w:p>
        </w:tc>
        <w:tc>
          <w:tcPr>
            <w:tcW w:type="dxa" w:w="4755"/>
          </w:tcPr>
          <w:p>
            <w:r/>
            <w:r>
              <w:rPr>
                <w:rFonts w:ascii="맑은 고딕" w:hAnsi="맑은 고딕" w:eastAsia="맑은 고딕"/>
                <w:sz w:val="19"/>
              </w:rPr>
              <w:t>공지·배너 관리</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검색·목록·상세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19.4</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외부 기관 연계 없는 단독 서비스(SIR-001 공용 클라우드 단독 배포)</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0.97</w:t>
            </w:r>
          </w:p>
        </w:tc>
        <w:tc>
          <w:tcPr>
            <w:tcW w:type="dxa" w:w="6544"/>
          </w:tcPr>
          <w:p>
            <w:r/>
            <w:r>
              <w:rPr>
                <w:rFonts w:ascii="맑은 고딕" w:hAnsi="맑은 고딕" w:eastAsia="맑은 고딕"/>
                <w:sz w:val="19"/>
              </w:rPr>
              <w:t>실시간 처리·응답시간 특약 없음, 정적 콘텐츠 중심(QUR-001~002 범위)</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브라우저(SFR-008, 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웹 보안 수준, 로그인·개인정보 미수집(SER-001, 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