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40000" cy="6679518"/>
            <wp:docPr id="1" name="Picture 1"/>
            <wp:cNvGraphicFramePr>
              <a:graphicFrameLocks noChangeAspect="1"/>
            </wp:cNvGraphicFramePr>
            <a:graphic>
              <a:graphicData uri="http://schemas.openxmlformats.org/drawingml/2006/picture">
                <pic:pic>
                  <pic:nvPicPr>
                    <pic:cNvPr id="0" name="cover_b.png"/>
                    <pic:cNvPicPr/>
                  </pic:nvPicPr>
                  <pic:blipFill>
                    <a:blip r:embed="rId10"/>
                    <a:stretch>
                      <a:fillRect/>
                    </a:stretch>
                  </pic:blipFill>
                  <pic:spPr>
                    <a:xfrm>
                      <a:off x="0" y="0"/>
                      <a:ext cx="5040000" cy="6679518"/>
                    </a:xfrm>
                    <a:prstGeom prst="rect"/>
                  </pic:spPr>
                </pic:pic>
              </a:graphicData>
            </a:graphic>
          </wp:inline>
        </w:drawing>
      </w:r>
    </w:p>
    <w:p>
      <w:pPr>
        <w:jc w:val="center"/>
      </w:pPr>
      <w:r>
        <w:rPr>
          <w:rFonts w:ascii="맑은 고딕" w:hAnsi="맑은 고딕" w:eastAsia="맑은 고딕"/>
          <w:b/>
          <w:color w:val="1F3A5F"/>
          <w:sz w:val="44"/>
        </w:rPr>
        <w:t>부산광역시교육청 교육용 AI 스킬 포털 구축 제안서</w:t>
      </w:r>
    </w:p>
    <w:p>
      <w:pPr>
        <w:jc w:val="center"/>
      </w:pPr>
      <w:r>
        <w:rPr>
          <w:rFonts w:ascii="맑은 고딕" w:hAnsi="맑은 고딕" w:eastAsia="맑은 고딕"/>
          <w:color w:val="6B7280"/>
          <w:sz w:val="24"/>
        </w:rPr>
        <w:t>부산광역시교육청 귀중</w:t>
      </w:r>
    </w:p>
    <w:p>
      <w:pPr>
        <w:jc w:val="center"/>
      </w:pPr>
      <w:r>
        <w:rPr>
          <w:rFonts w:ascii="맑은 고딕" w:hAnsi="맑은 고딕" w:eastAsia="맑은 고딕"/>
          <w:b/>
          <w:sz w:val="26"/>
        </w:rPr>
        <w:br/>
        <w:t>2026.  .    코드코리아</w:t>
      </w:r>
    </w:p>
    <w:p>
      <w:r>
        <w:br w:type="page"/>
      </w:r>
    </w:p>
    <w:p>
      <w:pPr>
        <w:pStyle w:val="Heading1"/>
      </w:pPr>
      <w:r>
        <w:t>제안 요약</w:t>
      </w:r>
    </w:p>
    <w:p>
      <w:pPr>
        <w:pStyle w:val="Lead"/>
      </w:pPr>
      <w:r>
        <w:t>부산의 교원 AI 활용은 이미 시작되었으나 흩어져 있습니다. 생성형 AI를 수업에 활용해 본 교원은 29.3%(교육정보미디어연구(2024), 교원 645명 조사)에 그치고, 활용하는 교사의 25~35%(경기도교육연구원(2026.4), 346개교 조사)는 구독료를 자비로 부담합니다. 한편 부산광역시교육청교육연구정보원의 AI 에이전트 워크숍(2026.7)에는 교원·교육전문직 250명이 참여해 스킬을 직접 제작했습니다 — 스킬 생산은 시작되었는데, 그 결과물을 관내 교원 25,579명에게 축적·공유하는 그릇이 없습니다.</w:t>
      </w:r>
    </w:p>
    <w:p>
      <w:pPr/>
      <w:r>
        <w:t>본 제안은 스킬 포털 구축으로 이 공백을 채웁니다. "AI 시대를 선도하는 인간중심 미래교육"(부산광역시교육청 2026년 주요업무계획, 4대 역점과제 제1과제)과 교육감 공약 'AI 교수학습지원센터 구축'의 첫 단계 실행 인프라를 12주 안에 개통하고, 검증된 교육용 AI 스킬 25종을 함께 확보합니다.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구분</w:t>
            </w:r>
          </w:p>
        </w:tc>
        <w:tc>
          <w:tcPr>
            <w:tcW w:type="dxa" w:w="4819"/>
            <w:shd w:val="clear" w:fill="1F3A5F"/>
          </w:tcPr>
          <w:p>
            <w:r/>
            <w:r>
              <w:rPr>
                <w:rFonts w:ascii="맑은 고딕" w:hAnsi="맑은 고딕" w:eastAsia="맑은 고딕"/>
                <w:b/>
                <w:color w:val="FFFFFF"/>
                <w:sz w:val="19"/>
              </w:rPr>
              <w:t>내용</w:t>
            </w:r>
          </w:p>
        </w:tc>
      </w:tr>
      <w:tr>
        <w:tc>
          <w:tcPr>
            <w:tcW w:type="dxa" w:w="4819"/>
          </w:tcPr>
          <w:p>
            <w:r/>
            <w:r>
              <w:rPr>
                <w:rFonts w:ascii="맑은 고딕" w:hAnsi="맑은 고딕" w:eastAsia="맑은 고딕"/>
                <w:sz w:val="19"/>
              </w:rPr>
              <w:t>범위</w:t>
            </w:r>
          </w:p>
        </w:tc>
        <w:tc>
          <w:tcPr>
            <w:tcW w:type="dxa" w:w="4819"/>
          </w:tcPr>
          <w:p>
            <w:r/>
            <w:r>
              <w:rPr>
                <w:rFonts w:ascii="맑은 고딕" w:hAnsi="맑은 고딕" w:eastAsia="맑은 고딕"/>
                <w:sz w:val="19"/>
              </w:rPr>
              <w:t>사전 분석 및 설계 / 포털 시스템 개발 / 교육용 AI 스킬 콘텐츠 제작 / 교원 연수 / 배포 및 유지관리</w:t>
            </w:r>
          </w:p>
        </w:tc>
      </w:tr>
      <w:tr>
        <w:tc>
          <w:tcPr>
            <w:tcW w:type="dxa" w:w="4819"/>
          </w:tcPr>
          <w:p>
            <w:r/>
            <w:r>
              <w:rPr>
                <w:rFonts w:ascii="맑은 고딕" w:hAnsi="맑은 고딕" w:eastAsia="맑은 고딕"/>
                <w:sz w:val="19"/>
              </w:rPr>
              <w:t>기간</w:t>
            </w:r>
          </w:p>
        </w:tc>
        <w:tc>
          <w:tcPr>
            <w:tcW w:type="dxa" w:w="4819"/>
          </w:tcPr>
          <w:p>
            <w:r/>
            <w:r>
              <w:rPr>
                <w:rFonts w:ascii="맑은 고딕" w:hAnsi="맑은 고딕" w:eastAsia="맑은 고딕"/>
                <w:sz w:val="19"/>
              </w:rPr>
              <w:t>계약체결일로부터 12주 이내(약 3개월)</w:t>
            </w:r>
          </w:p>
        </w:tc>
      </w:tr>
      <w:tr>
        <w:tc>
          <w:tcPr>
            <w:tcW w:type="dxa" w:w="4819"/>
          </w:tcPr>
          <w:p>
            <w:r/>
            <w:r>
              <w:rPr>
                <w:rFonts w:ascii="맑은 고딕" w:hAnsi="맑은 고딕" w:eastAsia="맑은 고딕"/>
                <w:sz w:val="19"/>
              </w:rPr>
              <w:t>금액</w:t>
            </w:r>
          </w:p>
        </w:tc>
        <w:tc>
          <w:tcPr>
            <w:tcW w:type="dxa" w:w="4819"/>
          </w:tcPr>
          <w:p>
            <w:r/>
            <w:r>
              <w:rPr>
                <w:rFonts w:ascii="맑은 고딕" w:hAnsi="맑은 고딕" w:eastAsia="맑은 고딕"/>
                <w:sz w:val="19"/>
              </w:rPr>
              <w:t>36,300,000원(부가세 포함) — 산출내역은 Ⅶ장, KOSA 기능점수 방식</w:t>
            </w:r>
          </w:p>
        </w:tc>
      </w:tr>
      <w:tr>
        <w:tc>
          <w:tcPr>
            <w:tcW w:type="dxa" w:w="4819"/>
          </w:tcPr>
          <w:p>
            <w:r/>
            <w:r>
              <w:rPr>
                <w:rFonts w:ascii="맑은 고딕" w:hAnsi="맑은 고딕" w:eastAsia="맑은 고딕"/>
                <w:sz w:val="19"/>
              </w:rPr>
              <w:t>주요 산출물</w:t>
            </w:r>
          </w:p>
        </w:tc>
        <w:tc>
          <w:tcPr>
            <w:tcW w:type="dxa" w:w="4819"/>
          </w:tcPr>
          <w:p>
            <w:r/>
            <w:r>
              <w:rPr>
                <w:rFonts w:ascii="맑은 고딕" w:hAnsi="맑은 고딕" w:eastAsia="맑은 고딕"/>
                <w:sz w:val="19"/>
              </w:rPr>
              <w:t>착수계 / 요구조사 결과보고서 / 요구사항 정의서 / 교육용 AI 스킬 25종 원본 및 검수확인서 외</w:t>
            </w:r>
          </w:p>
        </w:tc>
      </w:tr>
      <w:tr>
        <w:tc>
          <w:tcPr>
            <w:tcW w:type="dxa" w:w="4819"/>
          </w:tcPr>
          <w:p>
            <w:r/>
            <w:r>
              <w:rPr>
                <w:rFonts w:ascii="맑은 고딕" w:hAnsi="맑은 고딕" w:eastAsia="맑은 고딕"/>
                <w:sz w:val="19"/>
              </w:rPr>
              <w:t>계약 근거</w:t>
            </w:r>
          </w:p>
        </w:tc>
        <w:tc>
          <w:tcPr>
            <w:tcW w:type="dxa" w:w="4819"/>
          </w:tcPr>
          <w:p>
            <w:r/>
            <w:r>
              <w:rPr>
                <w:rFonts w:ascii="맑은 고딕" w:hAnsi="맑은 고딕" w:eastAsia="맑은 고딕"/>
                <w:sz w:val="19"/>
              </w:rPr>
              <w:t>「지방자치단체를 당사자로 하는 계약에 관한 법률 시행령」 제25조 제1항 제5호(소액 수의계약) 및 제30조 제1항 단서(여성기업 1인 견적), 「여성기업지원에 관한 법률」 제2조 제1호</w:t>
            </w:r>
          </w:p>
        </w:tc>
      </w:tr>
    </w:tbl>
    <w:p>
      <w:pPr>
        <w:pStyle w:val="Note"/>
      </w:pPr>
    </w:p>
    <w:p>
      <w:pPr>
        <w:pStyle w:val="Heading2"/>
      </w:pPr>
      <w:r>
        <w:t>제안사가 이 사업에 적합한 세 가지 이유</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차별점</w:t>
            </w:r>
          </w:p>
        </w:tc>
        <w:tc>
          <w:tcPr>
            <w:tcW w:type="dxa" w:w="4819"/>
            <w:shd w:val="clear" w:fill="1F3A5F"/>
          </w:tcPr>
          <w:p>
            <w:r/>
            <w:r>
              <w:rPr>
                <w:rFonts w:ascii="맑은 고딕" w:hAnsi="맑은 고딕" w:eastAsia="맑은 고딕"/>
                <w:b/>
                <w:color w:val="FFFFFF"/>
                <w:sz w:val="19"/>
              </w:rPr>
              <w:t>근거</w:t>
            </w:r>
          </w:p>
        </w:tc>
      </w:tr>
      <w:tr>
        <w:tc>
          <w:tcPr>
            <w:tcW w:type="dxa" w:w="4819"/>
          </w:tcPr>
          <w:p>
            <w:r/>
            <w:r>
              <w:rPr>
                <w:rFonts w:ascii="맑은 고딕" w:hAnsi="맑은 고딕" w:eastAsia="맑은 고딕"/>
                <w:sz w:val="19"/>
              </w:rPr>
              <w:t>교육과 SW를 한 팀이 수행</w:t>
            </w:r>
          </w:p>
        </w:tc>
        <w:tc>
          <w:tcPr>
            <w:tcW w:type="dxa" w:w="4819"/>
          </w:tcPr>
          <w:p>
            <w:r/>
            <w:r>
              <w:rPr>
                <w:rFonts w:ascii="맑은 고딕" w:hAnsi="맑은 고딕" w:eastAsia="맑은 고딕"/>
                <w:sz w:val="19"/>
              </w:rPr>
              <w:t>코드코리아는 소프트웨어교육 업태와 응용소프트웨어 개발·공급 업태를 함께 등록한 부산 기업으로, 스킬 콘텐츠 제작과 시스템 개발을 외주 없이 단일 팀으로 수행한다(Ⅰ장 일반현황)</w:t>
            </w:r>
          </w:p>
        </w:tc>
      </w:tr>
      <w:tr>
        <w:tc>
          <w:tcPr>
            <w:tcW w:type="dxa" w:w="4819"/>
          </w:tcPr>
          <w:p>
            <w:r/>
            <w:r>
              <w:rPr>
                <w:rFonts w:ascii="맑은 고딕" w:hAnsi="맑은 고딕" w:eastAsia="맑은 고딕"/>
                <w:sz w:val="19"/>
              </w:rPr>
              <w:t>관내 소재 — 대면 대응</w:t>
            </w:r>
          </w:p>
        </w:tc>
        <w:tc>
          <w:tcPr>
            <w:tcW w:type="dxa" w:w="4819"/>
          </w:tcPr>
          <w:p>
            <w:r/>
            <w:r>
              <w:rPr>
                <w:rFonts w:ascii="맑은 고딕" w:hAnsi="맑은 고딕" w:eastAsia="맑은 고딕"/>
                <w:sz w:val="19"/>
              </w:rPr>
              <w:t>부산 금정구 소재로 착수·중간·완료 보고와 수시 협의에 당일 대면 대응한다(Ⅴ장 보고체계)</w:t>
            </w:r>
          </w:p>
        </w:tc>
      </w:tr>
      <w:tr>
        <w:tc>
          <w:tcPr>
            <w:tcW w:type="dxa" w:w="4819"/>
          </w:tcPr>
          <w:p>
            <w:r/>
            <w:r>
              <w:rPr>
                <w:rFonts w:ascii="맑은 고딕" w:hAnsi="맑은 고딕" w:eastAsia="맑은 고딕"/>
                <w:sz w:val="19"/>
              </w:rPr>
              <w:t>구축 후 방치되지 않는 설계</w:t>
            </w:r>
          </w:p>
        </w:tc>
        <w:tc>
          <w:tcPr>
            <w:tcW w:type="dxa" w:w="4819"/>
          </w:tcPr>
          <w:p>
            <w:r/>
            <w:r>
              <w:rPr>
                <w:rFonts w:ascii="맑은 고딕" w:hAnsi="맑은 고딕" w:eastAsia="맑은 고딕"/>
                <w:sz w:val="19"/>
              </w:rPr>
              <w:t>e학습터 서비스 종료(2026.2)의 전례를 반영해 운영 이관·콘텐츠 갱신·이용 통계를 사업 범위에 내장한다(Ⅵ장 지속가능성)</w:t>
            </w:r>
          </w:p>
        </w:tc>
      </w:tr>
    </w:tbl>
    <w:p>
      <w:pPr>
        <w:pStyle w:val="Note"/>
      </w:pPr>
    </w:p>
    <w:p>
      <w:pPr>
        <w:pStyle w:val="Note"/>
      </w:pPr>
      <w:r>
        <w:t>요구사항 전체 대응 현황은 다음 쪽의 준수표에서 한눈에 확인하실 수 있습니다.</w:t>
      </w:r>
    </w:p>
    <w:p>
      <w:r>
        <w:br w:type="page"/>
      </w:r>
    </w:p>
    <w:p>
      <w:r>
        <w:rPr>
          <w:rFonts w:ascii="맑은 고딕" w:hAnsi="맑은 고딕" w:eastAsia="맑은 고딕"/>
          <w:b/>
          <w:color w:val="1F3A5F"/>
          <w:sz w:val="32"/>
        </w:rPr>
        <w:t>목  차</w:t>
      </w:r>
    </w:p>
    <w:p>
      <w:r>
        <w:fldChar w:fldCharType="begin"/>
      </w:r>
      <w:r>
        <w:instrText xml:space="preserve">TOC \o "1-2" \h \z \u</w:instrText>
      </w:r>
      <w:r>
        <w:fldChar w:fldCharType="separate"/>
      </w:r>
      <w:r>
        <w:rPr>
          <w:rFonts w:ascii="맑은 고딕" w:hAnsi="맑은 고딕" w:eastAsia="맑은 고딕"/>
        </w:rPr>
        <w:t>※ 목차 필드입니다 — Word 에서 필드 선택 후 F9 키로 갱신하십시오.</w:t>
      </w:r>
      <w:r>
        <w:fldChar w:fldCharType="end"/>
      </w:r>
    </w:p>
    <w:p>
      <w:r>
        <w:br w:type="page"/>
      </w:r>
    </w:p>
    <w:p>
      <w:pPr>
        <w:pStyle w:val="Heading1"/>
      </w:pPr>
      <w:r>
        <w:t>요구사항 준수표</w:t>
      </w:r>
    </w:p>
    <w:p>
      <w:pPr/>
      <w:r>
        <w:t>과업지시서 Ⅳ장의 요구사항 전체(22개 ID)에 대한 수용 여부와 본 제안서의 대응 위치입니다. 본문 각 절 머리의 [대응 요구사항] 배지와 양방향으로 연결됩니다.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687"/>
            <w:shd w:val="clear" w:fill="1F3A5F"/>
          </w:tcPr>
          <w:p>
            <w:r/>
            <w:r>
              <w:rPr>
                <w:rFonts w:ascii="맑은 고딕" w:hAnsi="맑은 고딕" w:eastAsia="맑은 고딕"/>
                <w:b/>
                <w:color w:val="FFFFFF"/>
                <w:sz w:val="19"/>
              </w:rPr>
              <w:t>요구사항 ID</w:t>
            </w:r>
          </w:p>
        </w:tc>
        <w:tc>
          <w:tcPr>
            <w:tcW w:type="dxa" w:w="3735"/>
            <w:shd w:val="clear" w:fill="1F3A5F"/>
          </w:tcPr>
          <w:p>
            <w:r/>
            <w:r>
              <w:rPr>
                <w:rFonts w:ascii="맑은 고딕" w:hAnsi="맑은 고딕" w:eastAsia="맑은 고딕"/>
                <w:b/>
                <w:color w:val="FFFFFF"/>
                <w:sz w:val="19"/>
              </w:rPr>
              <w:t>요구사항 명칭</w:t>
            </w:r>
          </w:p>
        </w:tc>
        <w:tc>
          <w:tcPr>
            <w:tcW w:type="dxa" w:w="1687"/>
            <w:shd w:val="clear" w:fill="1F3A5F"/>
          </w:tcPr>
          <w:p>
            <w:r/>
            <w:r>
              <w:rPr>
                <w:rFonts w:ascii="맑은 고딕" w:hAnsi="맑은 고딕" w:eastAsia="맑은 고딕"/>
                <w:b/>
                <w:color w:val="FFFFFF"/>
                <w:sz w:val="19"/>
              </w:rPr>
              <w:t>수용 여부</w:t>
            </w:r>
          </w:p>
        </w:tc>
        <w:tc>
          <w:tcPr>
            <w:tcW w:type="dxa" w:w="2530"/>
            <w:shd w:val="clear" w:fill="1F3A5F"/>
          </w:tcPr>
          <w:p>
            <w:r/>
            <w:r>
              <w:rPr>
                <w:rFonts w:ascii="맑은 고딕" w:hAnsi="맑은 고딕" w:eastAsia="맑은 고딕"/>
                <w:b/>
                <w:color w:val="FFFFFF"/>
                <w:sz w:val="19"/>
              </w:rPr>
              <w:t>대응 위치</w:t>
            </w:r>
          </w:p>
        </w:tc>
      </w:tr>
      <w:tr>
        <w:tc>
          <w:tcPr>
            <w:tcW w:type="dxa" w:w="1687"/>
          </w:tcPr>
          <w:p>
            <w:r/>
            <w:r>
              <w:rPr>
                <w:rFonts w:ascii="맑은 고딕" w:hAnsi="맑은 고딕" w:eastAsia="맑은 고딕"/>
                <w:sz w:val="19"/>
              </w:rPr>
              <w:t>SFR-001</w:t>
            </w:r>
          </w:p>
        </w:tc>
        <w:tc>
          <w:tcPr>
            <w:tcW w:type="dxa" w:w="3735"/>
          </w:tcPr>
          <w:p>
            <w:r/>
            <w:r>
              <w:rPr>
                <w:rFonts w:ascii="맑은 고딕" w:hAnsi="맑은 고딕" w:eastAsia="맑은 고딕"/>
                <w:sz w:val="19"/>
              </w:rPr>
              <w:t>스킬 목록·상세 제공</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SFR-002</w:t>
            </w:r>
          </w:p>
        </w:tc>
        <w:tc>
          <w:tcPr>
            <w:tcW w:type="dxa" w:w="3735"/>
          </w:tcPr>
          <w:p>
            <w:r/>
            <w:r>
              <w:rPr>
                <w:rFonts w:ascii="맑은 고딕" w:hAnsi="맑은 고딕" w:eastAsia="맑은 고딕"/>
                <w:sz w:val="19"/>
              </w:rPr>
              <w:t>4축 분류체계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SFR-003</w:t>
            </w:r>
          </w:p>
        </w:tc>
        <w:tc>
          <w:tcPr>
            <w:tcW w:type="dxa" w:w="3735"/>
          </w:tcPr>
          <w:p>
            <w:r/>
            <w:r>
              <w:rPr>
                <w:rFonts w:ascii="맑은 고딕" w:hAnsi="맑은 고딕" w:eastAsia="맑은 고딕"/>
                <w:sz w:val="19"/>
              </w:rPr>
              <w:t>검색 및 필터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SFR-004</w:t>
            </w:r>
          </w:p>
        </w:tc>
        <w:tc>
          <w:tcPr>
            <w:tcW w:type="dxa" w:w="3735"/>
          </w:tcPr>
          <w:p>
            <w:r/>
            <w:r>
              <w:rPr>
                <w:rFonts w:ascii="맑은 고딕" w:hAnsi="맑은 고딕" w:eastAsia="맑은 고딕"/>
                <w:sz w:val="19"/>
              </w:rPr>
              <w:t>설명문서 미리보기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SFR-005</w:t>
            </w:r>
          </w:p>
        </w:tc>
        <w:tc>
          <w:tcPr>
            <w:tcW w:type="dxa" w:w="3735"/>
          </w:tcPr>
          <w:p>
            <w:r/>
            <w:r>
              <w:rPr>
                <w:rFonts w:ascii="맑은 고딕" w:hAnsi="맑은 고딕" w:eastAsia="맑은 고딕"/>
                <w:sz w:val="19"/>
              </w:rPr>
              <w:t>회원가입·로그인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SFR-006</w:t>
            </w:r>
          </w:p>
        </w:tc>
        <w:tc>
          <w:tcPr>
            <w:tcW w:type="dxa" w:w="3735"/>
          </w:tcPr>
          <w:p>
            <w:r/>
            <w:r>
              <w:rPr>
                <w:rFonts w:ascii="맑은 고딕" w:hAnsi="맑은 고딕" w:eastAsia="맑은 고딕"/>
                <w:sz w:val="19"/>
              </w:rPr>
              <w:t>즐겨찾기·평점·후기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SFR-007</w:t>
            </w:r>
          </w:p>
        </w:tc>
        <w:tc>
          <w:tcPr>
            <w:tcW w:type="dxa" w:w="3735"/>
          </w:tcPr>
          <w:p>
            <w:r/>
            <w:r>
              <w:rPr>
                <w:rFonts w:ascii="맑은 고딕" w:hAnsi="맑은 고딕" w:eastAsia="맑은 고딕"/>
                <w:sz w:val="19"/>
              </w:rPr>
              <w:t>버전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SFR-008</w:t>
            </w:r>
          </w:p>
        </w:tc>
        <w:tc>
          <w:tcPr>
            <w:tcW w:type="dxa" w:w="3735"/>
          </w:tcPr>
          <w:p>
            <w:r/>
            <w:r>
              <w:rPr>
                <w:rFonts w:ascii="맑은 고딕" w:hAnsi="맑은 고딕" w:eastAsia="맑은 고딕"/>
                <w:sz w:val="19"/>
              </w:rPr>
              <w:t>컬렉션(주제 묶음)</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SFR-009</w:t>
            </w:r>
          </w:p>
        </w:tc>
        <w:tc>
          <w:tcPr>
            <w:tcW w:type="dxa" w:w="3735"/>
          </w:tcPr>
          <w:p>
            <w:r/>
            <w:r>
              <w:rPr>
                <w:rFonts w:ascii="맑은 고딕" w:hAnsi="맑은 고딕" w:eastAsia="맑은 고딕"/>
                <w:sz w:val="19"/>
              </w:rPr>
              <w:t>스킬 내려받기</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SFR-010</w:t>
            </w:r>
          </w:p>
        </w:tc>
        <w:tc>
          <w:tcPr>
            <w:tcW w:type="dxa" w:w="3735"/>
          </w:tcPr>
          <w:p>
            <w:r/>
            <w:r>
              <w:rPr>
                <w:rFonts w:ascii="맑은 고딕" w:hAnsi="맑은 고딕" w:eastAsia="맑은 고딕"/>
                <w:sz w:val="19"/>
              </w:rPr>
              <w:t>관리자 콘텐츠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SFR-011</w:t>
            </w:r>
          </w:p>
        </w:tc>
        <w:tc>
          <w:tcPr>
            <w:tcW w:type="dxa" w:w="3735"/>
          </w:tcPr>
          <w:p>
            <w:r/>
            <w:r>
              <w:rPr>
                <w:rFonts w:ascii="맑은 고딕" w:hAnsi="맑은 고딕" w:eastAsia="맑은 고딕"/>
                <w:sz w:val="19"/>
              </w:rPr>
              <w:t>회원·후기 관리</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SFR-012</w:t>
            </w:r>
          </w:p>
        </w:tc>
        <w:tc>
          <w:tcPr>
            <w:tcW w:type="dxa" w:w="3735"/>
          </w:tcPr>
          <w:p>
            <w:r/>
            <w:r>
              <w:rPr>
                <w:rFonts w:ascii="맑은 고딕" w:hAnsi="맑은 고딕" w:eastAsia="맑은 고딕"/>
                <w:sz w:val="19"/>
              </w:rPr>
              <w:t>통계 리포트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SFR-013</w:t>
            </w:r>
          </w:p>
        </w:tc>
        <w:tc>
          <w:tcPr>
            <w:tcW w:type="dxa" w:w="3735"/>
          </w:tcPr>
          <w:p>
            <w:r/>
            <w:r>
              <w:rPr>
                <w:rFonts w:ascii="맑은 고딕" w:hAnsi="맑은 고딕" w:eastAsia="맑은 고딕"/>
                <w:sz w:val="19"/>
              </w:rPr>
              <w:t>공지사항·이용안내</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Ⅲ-2 기능 구현방안</w:t>
            </w:r>
          </w:p>
        </w:tc>
      </w:tr>
      <w:tr>
        <w:tc>
          <w:tcPr>
            <w:tcW w:type="dxa" w:w="1687"/>
          </w:tcPr>
          <w:p>
            <w:r/>
            <w:r>
              <w:rPr>
                <w:rFonts w:ascii="맑은 고딕" w:hAnsi="맑은 고딕" w:eastAsia="맑은 고딕"/>
                <w:sz w:val="19"/>
              </w:rPr>
              <w:t>SIR-001</w:t>
            </w:r>
          </w:p>
        </w:tc>
        <w:tc>
          <w:tcPr>
            <w:tcW w:type="dxa" w:w="3735"/>
          </w:tcPr>
          <w:p>
            <w:r/>
            <w:r>
              <w:rPr>
                <w:rFonts w:ascii="맑은 고딕" w:hAnsi="맑은 고딕" w:eastAsia="맑은 고딕"/>
                <w:sz w:val="19"/>
              </w:rPr>
              <w:t>클라우드 운영환경</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SIR-002</w:t>
            </w:r>
          </w:p>
        </w:tc>
        <w:tc>
          <w:tcPr>
            <w:tcW w:type="dxa" w:w="3735"/>
          </w:tcPr>
          <w:p>
            <w:r/>
            <w:r>
              <w:rPr>
                <w:rFonts w:ascii="맑은 고딕" w:hAnsi="맑은 고딕" w:eastAsia="맑은 고딕"/>
                <w:sz w:val="19"/>
              </w:rPr>
              <w:t>백업 체계</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Ⅲ-3 시스템 구성·운영환경</w:t>
            </w:r>
          </w:p>
        </w:tc>
      </w:tr>
      <w:tr>
        <w:tc>
          <w:tcPr>
            <w:tcW w:type="dxa" w:w="1687"/>
          </w:tcPr>
          <w:p>
            <w:r/>
            <w:r>
              <w:rPr>
                <w:rFonts w:ascii="맑은 고딕" w:hAnsi="맑은 고딕" w:eastAsia="맑은 고딕"/>
                <w:sz w:val="19"/>
              </w:rPr>
              <w:t>DAR-001</w:t>
            </w:r>
          </w:p>
        </w:tc>
        <w:tc>
          <w:tcPr>
            <w:tcW w:type="dxa" w:w="3735"/>
          </w:tcPr>
          <w:p>
            <w:r/>
            <w:r>
              <w:rPr>
                <w:rFonts w:ascii="맑은 고딕" w:hAnsi="맑은 고딕" w:eastAsia="맑은 고딕"/>
                <w:sz w:val="19"/>
              </w:rPr>
              <w:t>데이터 이관</w:t>
            </w:r>
          </w:p>
        </w:tc>
        <w:tc>
          <w:tcPr>
            <w:tcW w:type="dxa" w:w="1687"/>
          </w:tcPr>
          <w:p>
            <w:r/>
            <w:r>
              <w:rPr>
                <w:rFonts w:ascii="맑은 고딕" w:hAnsi="맑은 고딕" w:eastAsia="맑은 고딕"/>
                <w:sz w:val="19"/>
              </w:rPr>
              <w:t>수용(선택 요구)</w:t>
            </w:r>
          </w:p>
        </w:tc>
        <w:tc>
          <w:tcPr>
            <w:tcW w:type="dxa" w:w="2530"/>
          </w:tcPr>
          <w:p>
            <w:r/>
            <w:r>
              <w:rPr>
                <w:rFonts w:ascii="맑은 고딕" w:hAnsi="맑은 고딕" w:eastAsia="맑은 고딕"/>
                <w:sz w:val="19"/>
              </w:rPr>
              <w:t>Ⅲ-4 데이터 설계</w:t>
            </w:r>
          </w:p>
        </w:tc>
      </w:tr>
      <w:tr>
        <w:tc>
          <w:tcPr>
            <w:tcW w:type="dxa" w:w="1687"/>
          </w:tcPr>
          <w:p>
            <w:r/>
            <w:r>
              <w:rPr>
                <w:rFonts w:ascii="맑은 고딕" w:hAnsi="맑은 고딕" w:eastAsia="맑은 고딕"/>
                <w:sz w:val="19"/>
              </w:rPr>
              <w:t>SER-001</w:t>
            </w:r>
          </w:p>
        </w:tc>
        <w:tc>
          <w:tcPr>
            <w:tcW w:type="dxa" w:w="3735"/>
          </w:tcPr>
          <w:p>
            <w:r/>
            <w:r>
              <w:rPr>
                <w:rFonts w:ascii="맑은 고딕" w:hAnsi="맑은 고딕" w:eastAsia="맑은 고딕"/>
                <w:sz w:val="19"/>
              </w:rPr>
              <w:t>웹 취약점 조치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SER-002</w:t>
            </w:r>
          </w:p>
        </w:tc>
        <w:tc>
          <w:tcPr>
            <w:tcW w:type="dxa" w:w="3735"/>
          </w:tcPr>
          <w:p>
            <w:r/>
            <w:r>
              <w:rPr>
                <w:rFonts w:ascii="맑은 고딕" w:hAnsi="맑은 고딕" w:eastAsia="맑은 고딕"/>
                <w:sz w:val="19"/>
              </w:rPr>
              <w:t>개인정보 보호</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Ⅲ-5 보안 이행방안</w:t>
            </w:r>
          </w:p>
        </w:tc>
      </w:tr>
      <w:tr>
        <w:tc>
          <w:tcPr>
            <w:tcW w:type="dxa" w:w="1687"/>
          </w:tcPr>
          <w:p>
            <w:r/>
            <w:r>
              <w:rPr>
                <w:rFonts w:ascii="맑은 고딕" w:hAnsi="맑은 고딕" w:eastAsia="맑은 고딕"/>
                <w:sz w:val="19"/>
              </w:rPr>
              <w:t>QUR-001</w:t>
            </w:r>
          </w:p>
        </w:tc>
        <w:tc>
          <w:tcPr>
            <w:tcW w:type="dxa" w:w="3735"/>
          </w:tcPr>
          <w:p>
            <w:r/>
            <w:r>
              <w:rPr>
                <w:rFonts w:ascii="맑은 고딕" w:hAnsi="맑은 고딕" w:eastAsia="맑은 고딕"/>
                <w:sz w:val="19"/>
              </w:rPr>
              <w:t>웹 접근성 준수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QUR-002</w:t>
            </w:r>
          </w:p>
        </w:tc>
        <w:tc>
          <w:tcPr>
            <w:tcW w:type="dxa" w:w="3735"/>
          </w:tcPr>
          <w:p>
            <w:r/>
            <w:r>
              <w:rPr>
                <w:rFonts w:ascii="맑은 고딕" w:hAnsi="맑은 고딕" w:eastAsia="맑은 고딕"/>
                <w:sz w:val="19"/>
              </w:rPr>
              <w:t>브라우저 호환성</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Ⅳ장 성능 및 품질</w:t>
            </w:r>
          </w:p>
        </w:tc>
      </w:tr>
      <w:tr>
        <w:tc>
          <w:tcPr>
            <w:tcW w:type="dxa" w:w="1687"/>
          </w:tcPr>
          <w:p>
            <w:r/>
            <w:r>
              <w:rPr>
                <w:rFonts w:ascii="맑은 고딕" w:hAnsi="맑은 고딕" w:eastAsia="맑은 고딕"/>
                <w:sz w:val="19"/>
              </w:rPr>
              <w:t>PSR-001</w:t>
            </w:r>
          </w:p>
        </w:tc>
        <w:tc>
          <w:tcPr>
            <w:tcW w:type="dxa" w:w="3735"/>
          </w:tcPr>
          <w:p>
            <w:r/>
            <w:r>
              <w:rPr>
                <w:rFonts w:ascii="맑은 고딕" w:hAnsi="맑은 고딕" w:eastAsia="맑은 고딕"/>
                <w:sz w:val="19"/>
              </w:rPr>
              <w:t>교원 연수</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Ⅵ-2 교육·연수 지원</w:t>
            </w:r>
          </w:p>
        </w:tc>
      </w:tr>
      <w:tr>
        <w:tc>
          <w:tcPr>
            <w:tcW w:type="dxa" w:w="1687"/>
          </w:tcPr>
          <w:p>
            <w:r/>
            <w:r>
              <w:rPr>
                <w:rFonts w:ascii="맑은 고딕" w:hAnsi="맑은 고딕" w:eastAsia="맑은 고딕"/>
                <w:sz w:val="19"/>
              </w:rPr>
              <w:t>PMR-001</w:t>
            </w:r>
          </w:p>
        </w:tc>
        <w:tc>
          <w:tcPr>
            <w:tcW w:type="dxa" w:w="3735"/>
          </w:tcPr>
          <w:p>
            <w:r/>
            <w:r>
              <w:rPr>
                <w:rFonts w:ascii="맑은 고딕" w:hAnsi="맑은 고딕" w:eastAsia="맑은 고딕"/>
                <w:sz w:val="19"/>
              </w:rPr>
              <w:t>단계별 보고</w:t>
            </w:r>
          </w:p>
        </w:tc>
        <w:tc>
          <w:tcPr>
            <w:tcW w:type="dxa" w:w="1687"/>
          </w:tcPr>
          <w:p>
            <w:r/>
            <w:r>
              <w:rPr>
                <w:rFonts w:ascii="맑은 고딕" w:hAnsi="맑은 고딕" w:eastAsia="맑은 고딕"/>
                <w:sz w:val="19"/>
              </w:rPr>
              <w:t>수용</w:t>
            </w:r>
          </w:p>
        </w:tc>
        <w:tc>
          <w:tcPr>
            <w:tcW w:type="dxa" w:w="2530"/>
          </w:tcPr>
          <w:p>
            <w:r/>
            <w:r>
              <w:rPr>
                <w:rFonts w:ascii="맑은 고딕" w:hAnsi="맑은 고딕" w:eastAsia="맑은 고딕"/>
                <w:sz w:val="19"/>
              </w:rPr>
              <w:t>Ⅴ장 프로젝트 관리</w:t>
            </w:r>
          </w:p>
        </w:tc>
      </w:tr>
    </w:tbl>
    <w:p>
      <w:pPr>
        <w:pStyle w:val="Note"/>
      </w:pPr>
    </w:p>
    <w:p>
      <w:r>
        <w:br w:type="page"/>
      </w:r>
    </w:p>
    <w:p>
      <w:pPr>
        <w:pStyle w:val="Heading1"/>
      </w:pPr>
      <w:r>
        <w:t>Ⅰ. 일반현황</w:t>
      </w:r>
    </w:p>
    <w:p>
      <w:pPr>
        <w:pStyle w:val="Heading2"/>
      </w:pPr>
      <w:r>
        <w:t>Ⅰ-1. 제안사 개요</w:t>
      </w:r>
    </w:p>
    <w:tbl>
      <w:tblPr>
        <w:tblStyle w:val="TableGrid"/>
        <w:tblW w:type="auto" w:w="0"/>
        <w:tblLook w:firstColumn="1" w:firstRow="1" w:lastColumn="0" w:lastRow="0" w:noHBand="0" w:noVBand="1" w:val="04A0"/>
      </w:tblPr>
      <w:tblGrid>
        <w:gridCol w:w="4819"/>
        <w:gridCol w:w="4819"/>
      </w:tblGrid>
      <w:tr>
        <w:tc>
          <w:tcPr>
            <w:tcW w:type="dxa" w:w="1928"/>
            <w:shd w:val="clear" w:fill="EEF2F7"/>
          </w:tcPr>
          <w:p>
            <w:r/>
            <w:r>
              <w:rPr>
                <w:rFonts w:ascii="맑은 고딕" w:hAnsi="맑은 고딕" w:eastAsia="맑은 고딕"/>
                <w:b/>
                <w:color w:val="1F3A5F"/>
                <w:sz w:val="20"/>
              </w:rPr>
              <w:t>상호</w:t>
            </w:r>
          </w:p>
        </w:tc>
        <w:tc>
          <w:tcPr>
            <w:tcW w:type="dxa" w:w="7710"/>
          </w:tcPr>
          <w:p>
            <w:r/>
            <w:r>
              <w:rPr>
                <w:rFonts w:ascii="맑은 고딕" w:hAnsi="맑은 고딕" w:eastAsia="맑은 고딕"/>
                <w:sz w:val="20"/>
              </w:rPr>
              <w:t>코드코리아 (KODE KOREA)</w:t>
            </w:r>
          </w:p>
        </w:tc>
      </w:tr>
      <w:tr>
        <w:tc>
          <w:tcPr>
            <w:tcW w:type="dxa" w:w="1928"/>
            <w:shd w:val="clear" w:fill="EEF2F7"/>
          </w:tcPr>
          <w:p>
            <w:r/>
            <w:r>
              <w:rPr>
                <w:rFonts w:ascii="맑은 고딕" w:hAnsi="맑은 고딕" w:eastAsia="맑은 고딕"/>
                <w:b/>
                <w:color w:val="1F3A5F"/>
                <w:sz w:val="20"/>
              </w:rPr>
              <w:t>대표자</w:t>
            </w:r>
          </w:p>
        </w:tc>
        <w:tc>
          <w:tcPr>
            <w:tcW w:type="dxa" w:w="7710"/>
          </w:tcPr>
          <w:p>
            <w:r/>
            <w:r>
              <w:rPr>
                <w:rFonts w:ascii="맑은 고딕" w:hAnsi="맑은 고딕" w:eastAsia="맑은 고딕"/>
                <w:sz w:val="20"/>
              </w:rPr>
              <w:t>조성호</w:t>
            </w:r>
          </w:p>
        </w:tc>
      </w:tr>
      <w:tr>
        <w:tc>
          <w:tcPr>
            <w:tcW w:type="dxa" w:w="1928"/>
            <w:shd w:val="clear" w:fill="EEF2F7"/>
          </w:tcPr>
          <w:p>
            <w:r/>
            <w:r>
              <w:rPr>
                <w:rFonts w:ascii="맑은 고딕" w:hAnsi="맑은 고딕" w:eastAsia="맑은 고딕"/>
                <w:b/>
                <w:color w:val="1F3A5F"/>
                <w:sz w:val="20"/>
              </w:rPr>
              <w:t>소재지</w:t>
            </w:r>
          </w:p>
        </w:tc>
        <w:tc>
          <w:tcPr>
            <w:tcW w:type="dxa" w:w="7710"/>
          </w:tcPr>
          <w:p>
            <w:r/>
            <w:r>
              <w:rPr>
                <w:rFonts w:ascii="맑은 고딕" w:hAnsi="맑은 고딕" w:eastAsia="맑은 고딕"/>
                <w:sz w:val="20"/>
              </w:rPr>
              <w:t>부산광역시 금정구 (발주기관 관내)</w:t>
            </w:r>
          </w:p>
        </w:tc>
      </w:tr>
      <w:tr>
        <w:tc>
          <w:tcPr>
            <w:tcW w:type="dxa" w:w="1928"/>
            <w:shd w:val="clear" w:fill="EEF2F7"/>
          </w:tcPr>
          <w:p>
            <w:r/>
            <w:r>
              <w:rPr>
                <w:rFonts w:ascii="맑은 고딕" w:hAnsi="맑은 고딕" w:eastAsia="맑은 고딕"/>
                <w:b/>
                <w:color w:val="1F3A5F"/>
                <w:sz w:val="20"/>
              </w:rPr>
              <w:t>설립</w:t>
            </w:r>
          </w:p>
        </w:tc>
        <w:tc>
          <w:tcPr>
            <w:tcW w:type="dxa" w:w="7710"/>
          </w:tcPr>
          <w:p>
            <w:r/>
            <w:r>
              <w:rPr>
                <w:rFonts w:ascii="맑은 고딕" w:hAnsi="맑은 고딕" w:eastAsia="맑은 고딕"/>
                <w:sz w:val="20"/>
              </w:rPr>
              <w:t>2017년 7월 (업력 9년차)</w:t>
            </w:r>
          </w:p>
        </w:tc>
      </w:tr>
      <w:tr>
        <w:tc>
          <w:tcPr>
            <w:tcW w:type="dxa" w:w="1928"/>
            <w:shd w:val="clear" w:fill="EEF2F7"/>
          </w:tcPr>
          <w:p>
            <w:r/>
            <w:r>
              <w:rPr>
                <w:rFonts w:ascii="맑은 고딕" w:hAnsi="맑은 고딕" w:eastAsia="맑은 고딕"/>
                <w:b/>
                <w:color w:val="1F3A5F"/>
                <w:sz w:val="20"/>
              </w:rPr>
              <w:t>주요 업태·종목</w:t>
            </w:r>
          </w:p>
        </w:tc>
        <w:tc>
          <w:tcPr>
            <w:tcW w:type="dxa" w:w="7710"/>
          </w:tcPr>
          <w:p>
            <w:r/>
            <w:r>
              <w:rPr>
                <w:rFonts w:ascii="맑은 고딕" w:hAnsi="맑은 고딕" w:eastAsia="맑은 고딕"/>
                <w:sz w:val="20"/>
              </w:rPr>
              <w:t>정보통신업 — 응용소프트웨어 개발 및 공급 / 컴퓨터시스템 통합 자문·구축 / 서비스 — 소프트웨어교육</w:t>
            </w:r>
          </w:p>
        </w:tc>
      </w:tr>
    </w:tbl>
    <w:p>
      <w:pPr>
        <w:pStyle w:val="Note"/>
      </w:pPr>
    </w:p>
    <w:p>
      <w:pPr/>
      <w:r>
        <w:t>코드코리아는 소프트웨어 개발과 소프트웨어 교육을 함께 수행하는 부산 소재 여성기업·소상공인입니다. 본 사업이 요구하는 두 축 — 포털 시스템 개발과 교육용 콘텐츠 제작 — 을 별도 외주 없이 한 팀에서 수행합니다.</w:t>
      </w:r>
    </w:p>
    <w:p>
      <w:pPr>
        <w:pStyle w:val="Heading2"/>
      </w:pPr>
      <w:r>
        <w:t>Ⅰ-2. 자격·증빙</w:t>
      </w:r>
    </w:p>
    <w:tbl>
      <w:tblPr>
        <w:tblStyle w:val="TableGrid"/>
        <w:tblW w:type="auto" w:w="0"/>
        <w:jc w:val="center"/>
        <w:tblLook w:firstColumn="1" w:firstRow="1" w:lastColumn="0" w:lastRow="0" w:noHBand="0" w:noVBand="1" w:val="04A0"/>
      </w:tblPr>
      <w:tblGrid>
        <w:gridCol w:w="4819"/>
        <w:gridCol w:w="4819"/>
      </w:tblGrid>
      <w:tr>
        <w:tc>
          <w:tcPr>
            <w:tcW w:type="dxa" w:w="4819"/>
            <w:shd w:val="clear" w:fill="1F3A5F"/>
          </w:tcPr>
          <w:p>
            <w:r/>
            <w:r>
              <w:rPr>
                <w:rFonts w:ascii="맑은 고딕" w:hAnsi="맑은 고딕" w:eastAsia="맑은 고딕"/>
                <w:b/>
                <w:color w:val="FFFFFF"/>
                <w:sz w:val="19"/>
              </w:rPr>
              <w:t>증빙</w:t>
            </w:r>
          </w:p>
        </w:tc>
        <w:tc>
          <w:tcPr>
            <w:tcW w:type="dxa" w:w="4819"/>
            <w:shd w:val="clear" w:fill="1F3A5F"/>
          </w:tcPr>
          <w:p>
            <w:r/>
            <w:r>
              <w:rPr>
                <w:rFonts w:ascii="맑은 고딕" w:hAnsi="맑은 고딕" w:eastAsia="맑은 고딕"/>
                <w:b/>
                <w:color w:val="FFFFFF"/>
                <w:sz w:val="19"/>
              </w:rPr>
              <w:t>비고</w:t>
            </w:r>
          </w:p>
        </w:tc>
      </w:tr>
      <w:tr>
        <w:tc>
          <w:tcPr>
            <w:tcW w:type="dxa" w:w="4819"/>
          </w:tcPr>
          <w:p>
            <w:r/>
            <w:r>
              <w:rPr>
                <w:rFonts w:ascii="맑은 고딕" w:hAnsi="맑은 고딕" w:eastAsia="맑은 고딕"/>
                <w:sz w:val="19"/>
              </w:rPr>
              <w:t>여성기업확인서</w:t>
            </w:r>
          </w:p>
        </w:tc>
        <w:tc>
          <w:tcPr>
            <w:tcW w:type="dxa" w:w="4819"/>
          </w:tcPr>
          <w:p>
            <w:r/>
            <w:r>
              <w:rPr>
                <w:rFonts w:ascii="맑은 고딕" w:hAnsi="맑은 고딕" w:eastAsia="맑은 고딕"/>
                <w:sz w:val="19"/>
              </w:rPr>
              <w:t>유효기간 내 발급본 첨부 — 1인 견적 수의계약 근거(지방계약법 시행령 제30조 제1항 단서)</w:t>
            </w:r>
          </w:p>
        </w:tc>
      </w:tr>
      <w:tr>
        <w:tc>
          <w:tcPr>
            <w:tcW w:type="dxa" w:w="4819"/>
          </w:tcPr>
          <w:p>
            <w:r/>
            <w:r>
              <w:rPr>
                <w:rFonts w:ascii="맑은 고딕" w:hAnsi="맑은 고딕" w:eastAsia="맑은 고딕"/>
                <w:sz w:val="19"/>
              </w:rPr>
              <w:t>중소기업(소상공인)확인서</w:t>
            </w:r>
          </w:p>
        </w:tc>
        <w:tc>
          <w:tcPr>
            <w:tcW w:type="dxa" w:w="4819"/>
          </w:tcPr>
          <w:p>
            <w:r/>
            <w:r>
              <w:rPr>
                <w:rFonts w:ascii="맑은 고딕" w:hAnsi="맑은 고딕" w:eastAsia="맑은 고딕"/>
                <w:sz w:val="19"/>
              </w:rPr>
              <w:t>유효기간 내 발급본 첨부</w:t>
            </w:r>
          </w:p>
        </w:tc>
      </w:tr>
      <w:tr>
        <w:tc>
          <w:tcPr>
            <w:tcW w:type="dxa" w:w="4819"/>
          </w:tcPr>
          <w:p>
            <w:r/>
            <w:r>
              <w:rPr>
                <w:rFonts w:ascii="맑은 고딕" w:hAnsi="맑은 고딕" w:eastAsia="맑은 고딕"/>
                <w:sz w:val="19"/>
              </w:rPr>
              <w:t>사업자등록증</w:t>
            </w:r>
          </w:p>
        </w:tc>
        <w:tc>
          <w:tcPr>
            <w:tcW w:type="dxa" w:w="4819"/>
          </w:tcPr>
          <w:p>
            <w:r/>
            <w:r>
              <w:rPr>
                <w:rFonts w:ascii="맑은 고딕" w:hAnsi="맑은 고딕" w:eastAsia="맑은 고딕"/>
                <w:sz w:val="19"/>
              </w:rPr>
              <w:t>일반과세자</w:t>
            </w:r>
          </w:p>
        </w:tc>
      </w:tr>
      <w:tr>
        <w:tc>
          <w:tcPr>
            <w:tcW w:type="dxa" w:w="4819"/>
          </w:tcPr>
          <w:p>
            <w:r/>
            <w:r>
              <w:rPr>
                <w:rFonts w:ascii="맑은 고딕" w:hAnsi="맑은 고딕" w:eastAsia="맑은 고딕"/>
                <w:sz w:val="19"/>
              </w:rPr>
              <w:t>직접생산확인증명서</w:t>
            </w:r>
          </w:p>
        </w:tc>
        <w:tc>
          <w:tcPr>
            <w:tcW w:type="dxa" w:w="4819"/>
          </w:tcPr>
          <w:p>
            <w:r/>
            <w:r>
              <w:rPr>
                <w:rFonts w:ascii="맑은 고딕" w:hAnsi="맑은 고딕" w:eastAsia="맑은 고딕"/>
                <w:sz w:val="19"/>
              </w:rPr>
              <w:t>유효기간 내 발급본 첨부</w:t>
            </w:r>
          </w:p>
        </w:tc>
      </w:tr>
    </w:tbl>
    <w:p>
      <w:pPr>
        <w:pStyle w:val="Note"/>
      </w:pPr>
    </w:p>
    <w:p>
      <w:pPr>
        <w:pStyle w:val="Heading2"/>
      </w:pPr>
      <w:r>
        <w:t>Ⅰ-3. 수행 실적</w:t>
      </w:r>
    </w:p>
    <w:p>
      <w:pPr>
        <w:pStyle w:val="Note"/>
      </w:pPr>
      <w:r>
        <w:t>[제출 전 확인: 아래 실적 표는 제출 전 실제 계약 실적으로 교체·확정합니다. 발주처·계약금액·기간은 증빙(계약서·완료확인서)과 글자 단위로 일치시켜 기재합니다.]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1F3A5F"/>
          </w:tcPr>
          <w:p>
            <w:r/>
            <w:r>
              <w:rPr>
                <w:rFonts w:ascii="맑은 고딕" w:hAnsi="맑은 고딕" w:eastAsia="맑은 고딕"/>
                <w:b/>
                <w:color w:val="FFFFFF"/>
                <w:sz w:val="19"/>
              </w:rPr>
              <w:t>사업명</w:t>
            </w:r>
          </w:p>
        </w:tc>
        <w:tc>
          <w:tcPr>
            <w:tcW w:type="dxa" w:w="1928"/>
            <w:shd w:val="clear" w:fill="1F3A5F"/>
          </w:tcPr>
          <w:p>
            <w:r/>
            <w:r>
              <w:rPr>
                <w:rFonts w:ascii="맑은 고딕" w:hAnsi="맑은 고딕" w:eastAsia="맑은 고딕"/>
                <w:b/>
                <w:color w:val="FFFFFF"/>
                <w:sz w:val="19"/>
              </w:rPr>
              <w:t>발주처</w:t>
            </w:r>
          </w:p>
        </w:tc>
        <w:tc>
          <w:tcPr>
            <w:tcW w:type="dxa" w:w="1928"/>
            <w:shd w:val="clear" w:fill="1F3A5F"/>
          </w:tcPr>
          <w:p>
            <w:r/>
            <w:r>
              <w:rPr>
                <w:rFonts w:ascii="맑은 고딕" w:hAnsi="맑은 고딕" w:eastAsia="맑은 고딕"/>
                <w:b/>
                <w:color w:val="FFFFFF"/>
                <w:sz w:val="19"/>
              </w:rPr>
              <w:t>기간</w:t>
            </w:r>
          </w:p>
        </w:tc>
        <w:tc>
          <w:tcPr>
            <w:tcW w:type="dxa" w:w="1928"/>
            <w:shd w:val="clear" w:fill="1F3A5F"/>
          </w:tcPr>
          <w:p>
            <w:r/>
            <w:r>
              <w:rPr>
                <w:rFonts w:ascii="맑은 고딕" w:hAnsi="맑은 고딕" w:eastAsia="맑은 고딕"/>
                <w:b/>
                <w:color w:val="FFFFFF"/>
                <w:sz w:val="19"/>
              </w:rPr>
              <w:t>계약금액</w:t>
            </w:r>
          </w:p>
        </w:tc>
        <w:tc>
          <w:tcPr>
            <w:tcW w:type="dxa" w:w="1928"/>
            <w:shd w:val="clear" w:fill="1F3A5F"/>
          </w:tcPr>
          <w:p>
            <w:r/>
            <w:r>
              <w:rPr>
                <w:rFonts w:ascii="맑은 고딕" w:hAnsi="맑은 고딕" w:eastAsia="맑은 고딕"/>
                <w:b/>
                <w:color w:val="FFFFFF"/>
                <w:sz w:val="19"/>
              </w:rPr>
              <w:t>본 사업 관련성</w:t>
            </w:r>
          </w:p>
        </w:tc>
      </w:tr>
      <w:tr>
        <w:tc>
          <w:tcPr>
            <w:tcW w:type="dxa" w:w="1928"/>
          </w:tcPr>
          <w:p>
            <w:r/>
            <w:r>
              <w:rPr>
                <w:rFonts w:ascii="맑은 고딕" w:hAnsi="맑은 고딕" w:eastAsia="맑은 고딕"/>
                <w:sz w:val="19"/>
              </w:rPr>
              <w:t>[제출 전 확인] 대학 대상 SW·AI 교육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교육기관 대상 AI 교육 수행</w:t>
            </w:r>
          </w:p>
        </w:tc>
      </w:tr>
      <w:tr>
        <w:tc>
          <w:tcPr>
            <w:tcW w:type="dxa" w:w="1928"/>
          </w:tcPr>
          <w:p>
            <w:r/>
            <w:r>
              <w:rPr>
                <w:rFonts w:ascii="맑은 고딕" w:hAnsi="맑은 고딕" w:eastAsia="맑은 고딕"/>
                <w:sz w:val="19"/>
              </w:rPr>
              <w:t>[제출 전 확인] 웹 시스템 구축 용역</w:t>
            </w:r>
          </w:p>
        </w:tc>
        <w:tc>
          <w:tcPr>
            <w:tcW w:type="dxa" w:w="1928"/>
          </w:tcPr>
          <w:p>
            <w:r/>
            <w:r>
              <w:rPr>
                <w:rFonts w:ascii="맑은 고딕" w:hAnsi="맑은 고딕" w:eastAsia="맑은 고딕"/>
                <w:sz w:val="19"/>
              </w:rPr>
              <w:t>[발주처]</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[금액]</w:t>
            </w:r>
          </w:p>
        </w:tc>
        <w:tc>
          <w:tcPr>
            <w:tcW w:type="dxa" w:w="1928"/>
          </w:tcPr>
          <w:p>
            <w:r/>
            <w:r>
              <w:rPr>
                <w:rFonts w:ascii="맑은 고딕" w:hAnsi="맑은 고딕" w:eastAsia="맑은 고딕"/>
                <w:sz w:val="19"/>
              </w:rPr>
              <w:t>웹 서비스 설계·개발·운영</w:t>
            </w:r>
          </w:p>
        </w:tc>
      </w:tr>
      <w:tr>
        <w:tc>
          <w:tcPr>
            <w:tcW w:type="dxa" w:w="1928"/>
          </w:tcPr>
          <w:p>
            <w:r/>
            <w:r>
              <w:rPr>
                <w:rFonts w:ascii="맑은 고딕" w:hAnsi="맑은 고딕" w:eastAsia="맑은 고딕"/>
                <w:sz w:val="19"/>
              </w:rPr>
              <w:t>[제출 전 확인] 문서 자동화 시스템 구축·운영</w:t>
            </w:r>
          </w:p>
        </w:tc>
        <w:tc>
          <w:tcPr>
            <w:tcW w:type="dxa" w:w="1928"/>
          </w:tcPr>
          <w:p>
            <w:r/>
            <w:r>
              <w:rPr>
                <w:rFonts w:ascii="맑은 고딕" w:hAnsi="맑은 고딕" w:eastAsia="맑은 고딕"/>
                <w:sz w:val="19"/>
              </w:rPr>
              <w:t>자체 서비스</w:t>
            </w:r>
          </w:p>
        </w:tc>
        <w:tc>
          <w:tcPr>
            <w:tcW w:type="dxa" w:w="1928"/>
          </w:tcPr>
          <w:p>
            <w:r/>
            <w:r>
              <w:rPr>
                <w:rFonts w:ascii="맑은 고딕" w:hAnsi="맑은 고딕" w:eastAsia="맑은 고딕"/>
                <w:sz w:val="19"/>
              </w:rPr>
              <w:t>[기간]</w:t>
            </w:r>
          </w:p>
        </w:tc>
        <w:tc>
          <w:tcPr>
            <w:tcW w:type="dxa" w:w="1928"/>
          </w:tcPr>
          <w:p>
            <w:r/>
            <w:r>
              <w:rPr>
                <w:rFonts w:ascii="맑은 고딕" w:hAnsi="맑은 고딕" w:eastAsia="맑은 고딕"/>
                <w:sz w:val="19"/>
              </w:rPr>
              <w:t>—</w:t>
            </w:r>
          </w:p>
        </w:tc>
        <w:tc>
          <w:tcPr>
            <w:tcW w:type="dxa" w:w="1928"/>
          </w:tcPr>
          <w:p>
            <w:r/>
            <w:r>
              <w:rPr>
                <w:rFonts w:ascii="맑은 고딕" w:hAnsi="맑은 고딕" w:eastAsia="맑은 고딕"/>
                <w:sz w:val="19"/>
              </w:rPr>
              <w:t>LLM 파이프라인 설계·운영 실무</w:t>
            </w:r>
          </w:p>
        </w:tc>
      </w:tr>
    </w:tbl>
    <w:p>
      <w:pPr>
        <w:pStyle w:val="Note"/>
      </w:pPr>
    </w:p>
    <w:p>
      <w:r>
        <w:br w:type="page"/>
      </w:r>
    </w:p>
    <w:p>
      <w:pPr>
        <w:pStyle w:val="Heading1"/>
      </w:pPr>
      <w:r>
        <w:t>Ⅱ. 전략 및 방법론</w:t>
      </w:r>
    </w:p>
    <w:p>
      <w:pPr>
        <w:pStyle w:val="Heading2"/>
      </w:pPr>
      <w:r>
        <w:t>Ⅱ-1. 사업의 이해 — 왜 지금, 부산에 스킬 포털인가</w:t>
      </w:r>
    </w:p>
    <w:p>
      <w:pPr/>
      <w:r>
        <w:t>교육부는 2025년 12월 12일 발표한 「2026년 교육부 업무계획」에서 제1과제로 '학생, 교원이 AI를 보편적으로 활용하는 교육 실현'을 제시하고, AI·디지털 기반 교실 혁신과 교원의 AI 활용 역량 강화를 국가 교육정책의 중심에 두었다.</w:t>
      </w:r>
    </w:p>
    <w:p>
      <w:pPr/>
      <w:r>
        <w:t>부산광역시교육청은 2026년 주요업무계획에서 "다함께 미래로, 앞서가는 부산교육"을 교육지표로 내걸고, 4대 역점과제의 첫 번째로 "AI 시대를 선도하는 인간중심 미래교육"을 제시하였다. 부산교육청은 AI 튜터 BeAT, 교직원 AI 비서 PenGPT, 통합계정 PENZ로 이어지는 AI 서비스 인프라를 이미 구축하였고, 2026년 7월에는 부산광역시교육청교육연구정보원이 교원·교육전문직 250명이 참여하는 AI 에이전트 제작 워크숍을 열어 교원이 스킬을 직접 만드는 단계까지 나아갔다.</w:t>
      </w:r>
    </w:p>
    <w:p>
      <w:pPr/>
      <w:r>
        <w:t>그러나 이렇게 생산되기 시작한 교원의 AI 활용 스킬을 축적하고, 검증하고, 관내 교원 25,579명 전체가 재사용하게 하는 지식 유통 체계는 아직 없다. 본 사업은 부산교육청이 구축한 AI 서비스 계층 위에 스킬을 축적·검증·공유하는 지식 계층을 얹어, "AI 시대를 선도하는 인간중심 미래교육"과 교육감 공약 'AI 교수학습지원센터 구축'을 실행하는 첫 단계 인프라가 된다.</w:t>
      </w:r>
    </w:p>
    <w:p>
      <w:pPr>
        <w:jc w:val="center"/>
      </w:pPr>
      <w:r>
        <w:drawing>
          <wp:inline xmlns:a="http://schemas.openxmlformats.org/drawingml/2006/main" xmlns:pic="http://schemas.openxmlformats.org/drawingml/2006/picture">
            <wp:extent cx="5400000" cy="4961250"/>
            <wp:docPr id="2" name="Picture 2"/>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5400000" cy="4961250"/>
                    </a:xfrm>
                    <a:prstGeom prst="rect"/>
                  </pic:spPr>
                </pic:pic>
              </a:graphicData>
            </a:graphic>
          </wp:inline>
        </w:drawing>
      </w:r>
    </w:p>
    <w:p>
      <w:pPr>
        <w:pStyle w:val="Caption2"/>
        <w:jc w:val="center"/>
      </w:pPr>
      <w:r>
        <w:t>[그림 1] AI 교육정책의 무게중심은 교과서에서 교원 역량으로 이동했다 — 본 사업 발주 시점의 정책 근거</w:t>
      </w:r>
    </w:p>
    <w:p>
      <w:pPr/>
      <w:r>
        <w:t>2025년 8월 초·중등교육법 개정으로 AI 디지털교과서가 '교육자료'로 전환되면서, 학교 현장 AI 활용의 성패는 교과서가 아니라 교원 개인의 역량과 스킬에 달리게 되었다(초·중등교육법 개정(2025.8) 및 2025년 국정감사 보도). 본 사업은 이 국면 전환에 대한 부산광역시교육청의 응답으로, 교원 개개인에게 흩어진 활용 역량을 교육청 공식 자산으로 전환하는 사업입니다.</w:t>
      </w:r>
    </w:p>
    <w:p>
      <w:pPr>
        <w:pStyle w:val="Heading2"/>
      </w:pPr>
      <w:r>
        <w:t>Ⅱ-2. 현장의 격차 — 수치로 확인되는 필요성</w:t>
      </w:r>
    </w:p>
    <w:p>
      <w:pPr>
        <w:jc w:val="center"/>
      </w:pPr>
      <w:r>
        <w:drawing>
          <wp:inline xmlns:a="http://schemas.openxmlformats.org/drawingml/2006/main" xmlns:pic="http://schemas.openxmlformats.org/drawingml/2006/picture">
            <wp:extent cx="5760000" cy="2592000"/>
            <wp:docPr id="3" name="Picture 3"/>
            <wp:cNvGraphicFramePr>
              <a:graphicFrameLocks noChangeAspect="1"/>
            </wp:cNvGraphicFramePr>
            <a:graphic>
              <a:graphicData uri="http://schemas.openxmlformats.org/drawingml/2006/picture">
                <pic:pic>
                  <pic:nvPicPr>
                    <pic:cNvPr id="0" name="gap_infographic.png"/>
                    <pic:cNvPicPr/>
                  </pic:nvPicPr>
                  <pic:blipFill>
                    <a:blip r:embed="rId12"/>
                    <a:stretch>
                      <a:fillRect/>
                    </a:stretch>
                  </pic:blipFill>
                  <pic:spPr>
                    <a:xfrm>
                      <a:off x="0" y="0"/>
                      <a:ext cx="5760000" cy="2592000"/>
                    </a:xfrm>
                    <a:prstGeom prst="rect"/>
                  </pic:spPr>
                </pic:pic>
              </a:graphicData>
            </a:graphic>
          </wp:inline>
        </w:drawing>
      </w:r>
    </w:p>
    <w:p>
      <w:pPr>
        <w:pStyle w:val="Caption2"/>
        <w:jc w:val="center"/>
      </w:pPr>
      <w:r>
        <w:t>[그림 2] 교원의 AI 활용은 개인 역량과 자비 부담에 의존하고 있다 — 본 사업이 해소할 격차</w:t>
      </w:r>
    </w:p>
    <w:p>
      <w:pPr/>
      <w:r>
        <w:t>관내 교원 25,579명(988교) 중 생성형 AI를 수업에 활용해 본 비율이 29.3%에 머무는 동안, 활용하는 교사는 도구 사용법을 각자 찾아 익히고 구독료를 자비로 부담하고 있습니다. 활용 격차는 개인의 문제가 아니라 축적·공유 체계의 부재가 만든 구조적 문제이며, 시스템으로 해소합니다.</w:t>
      </w:r>
    </w:p>
    <w:p>
      <w:pPr>
        <w:pStyle w:val="Heading2"/>
      </w:pPr>
      <w:r>
        <w:t>Ⅱ-3. 유사 플랫폼 분석 — 전례에서 설계 원칙을 얻다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474"/>
            <w:shd w:val="clear" w:fill="1F3A5F"/>
          </w:tcPr>
          <w:p>
            <w:r/>
            <w:r>
              <w:rPr>
                <w:rFonts w:ascii="맑은 고딕" w:hAnsi="맑은 고딕" w:eastAsia="맑은 고딕"/>
                <w:b/>
                <w:color w:val="FFFFFF"/>
                <w:sz w:val="19"/>
              </w:rPr>
              <w:t>플랫폼</w:t>
            </w:r>
          </w:p>
        </w:tc>
        <w:tc>
          <w:tcPr>
            <w:tcW w:type="dxa" w:w="1361"/>
            <w:shd w:val="clear" w:fill="1F3A5F"/>
          </w:tcPr>
          <w:p>
            <w:r/>
            <w:r>
              <w:rPr>
                <w:rFonts w:ascii="맑은 고딕" w:hAnsi="맑은 고딕" w:eastAsia="맑은 고딕"/>
                <w:b/>
                <w:color w:val="FFFFFF"/>
                <w:sz w:val="19"/>
              </w:rPr>
              <w:t>연혁</w:t>
            </w:r>
          </w:p>
        </w:tc>
        <w:tc>
          <w:tcPr>
            <w:tcW w:type="dxa" w:w="1928"/>
            <w:shd w:val="clear" w:fill="1F3A5F"/>
          </w:tcPr>
          <w:p>
            <w:r/>
            <w:r>
              <w:rPr>
                <w:rFonts w:ascii="맑은 고딕" w:hAnsi="맑은 고딕" w:eastAsia="맑은 고딕"/>
                <w:b/>
                <w:color w:val="FFFFFF"/>
                <w:sz w:val="19"/>
              </w:rPr>
              <w:t>운영</w:t>
            </w:r>
          </w:p>
        </w:tc>
        <w:tc>
          <w:tcPr>
            <w:tcW w:type="dxa" w:w="2041"/>
            <w:shd w:val="clear" w:fill="1F3A5F"/>
          </w:tcPr>
          <w:p>
            <w:r/>
            <w:r>
              <w:rPr>
                <w:rFonts w:ascii="맑은 고딕" w:hAnsi="맑은 고딕" w:eastAsia="맑은 고딕"/>
                <w:b/>
                <w:color w:val="FFFFFF"/>
                <w:sz w:val="19"/>
              </w:rPr>
              <w:t>확인된 사실</w:t>
            </w:r>
          </w:p>
        </w:tc>
        <w:tc>
          <w:tcPr>
            <w:tcW w:type="dxa" w:w="2835"/>
            <w:shd w:val="clear" w:fill="1F3A5F"/>
          </w:tcPr>
          <w:p>
            <w:r/>
            <w:r>
              <w:rPr>
                <w:rFonts w:ascii="맑은 고딕" w:hAnsi="맑은 고딕" w:eastAsia="맑은 고딕"/>
                <w:b/>
                <w:color w:val="FFFFFF"/>
                <w:sz w:val="19"/>
              </w:rPr>
              <w:t>본 사업 반영</w:t>
            </w:r>
          </w:p>
        </w:tc>
      </w:tr>
      <w:tr>
        <w:tc>
          <w:tcPr>
            <w:tcW w:type="dxa" w:w="1474"/>
          </w:tcPr>
          <w:p>
            <w:r/>
            <w:r>
              <w:rPr>
                <w:rFonts w:ascii="맑은 고딕" w:hAnsi="맑은 고딕" w:eastAsia="맑은 고딕"/>
                <w:sz w:val="19"/>
              </w:rPr>
              <w:t>잇다(ITDA)</w:t>
            </w:r>
          </w:p>
        </w:tc>
        <w:tc>
          <w:tcPr>
            <w:tcW w:type="dxa" w:w="1361"/>
          </w:tcPr>
          <w:p>
            <w:r/>
            <w:r>
              <w:rPr>
                <w:rFonts w:ascii="맑은 고딕" w:hAnsi="맑은 고딕" w:eastAsia="맑은 고딕"/>
                <w:sz w:val="19"/>
              </w:rPr>
              <w:t>2021.8 개통</w:t>
            </w:r>
          </w:p>
        </w:tc>
        <w:tc>
          <w:tcPr>
            <w:tcW w:type="dxa" w:w="1928"/>
          </w:tcPr>
          <w:p>
            <w:r/>
            <w:r>
              <w:rPr>
                <w:rFonts w:ascii="맑은 고딕" w:hAnsi="맑은 고딕" w:eastAsia="맑은 고딕"/>
                <w:sz w:val="19"/>
              </w:rPr>
              <w:t>교육부·KERIS·17개 시도교육청</w:t>
            </w:r>
          </w:p>
        </w:tc>
        <w:tc>
          <w:tcPr>
            <w:tcW w:type="dxa" w:w="2041"/>
          </w:tcPr>
          <w:p>
            <w:r/>
            <w:r>
              <w:rPr>
                <w:rFonts w:ascii="맑은 고딕" w:hAnsi="맑은 고딕" w:eastAsia="맑은 고딕"/>
                <w:sz w:val="19"/>
              </w:rPr>
              <w:t>개통 시 콘텐츠 약 15,000종</w:t>
            </w:r>
          </w:p>
        </w:tc>
        <w:tc>
          <w:tcPr>
            <w:tcW w:type="dxa" w:w="2835"/>
          </w:tcPr>
          <w:p>
            <w:r/>
            <w:r>
              <w:rPr>
                <w:rFonts w:ascii="맑은 고딕" w:hAnsi="맑은 고딕" w:eastAsia="맑은 고딕"/>
                <w:sz w:val="19"/>
              </w:rPr>
              <w:t>초기 콘텐츠 확보가 성패를 가른다 → 시드 저자군 기반 콘텐츠 시딩 계획</w:t>
            </w:r>
          </w:p>
        </w:tc>
      </w:tr>
      <w:tr>
        <w:tc>
          <w:tcPr>
            <w:tcW w:type="dxa" w:w="1474"/>
          </w:tcPr>
          <w:p>
            <w:r/>
            <w:r>
              <w:rPr>
                <w:rFonts w:ascii="맑은 고딕" w:hAnsi="맑은 고딕" w:eastAsia="맑은 고딕"/>
                <w:sz w:val="19"/>
              </w:rPr>
              <w:t>함께학교</w:t>
            </w:r>
          </w:p>
        </w:tc>
        <w:tc>
          <w:tcPr>
            <w:tcW w:type="dxa" w:w="1361"/>
          </w:tcPr>
          <w:p>
            <w:r/>
            <w:r>
              <w:rPr>
                <w:rFonts w:ascii="맑은 고딕" w:hAnsi="맑은 고딕" w:eastAsia="맑은 고딕"/>
                <w:sz w:val="19"/>
              </w:rPr>
              <w:t>2023.11 개통</w:t>
            </w:r>
          </w:p>
        </w:tc>
        <w:tc>
          <w:tcPr>
            <w:tcW w:type="dxa" w:w="1928"/>
          </w:tcPr>
          <w:p>
            <w:r/>
            <w:r>
              <w:rPr>
                <w:rFonts w:ascii="맑은 고딕" w:hAnsi="맑은 고딕" w:eastAsia="맑은 고딕"/>
                <w:sz w:val="19"/>
              </w:rPr>
              <w:t>교육부</w:t>
            </w:r>
          </w:p>
        </w:tc>
        <w:tc>
          <w:tcPr>
            <w:tcW w:type="dxa" w:w="2041"/>
          </w:tcPr>
          <w:p>
            <w:r/>
            <w:r>
              <w:rPr>
                <w:rFonts w:ascii="맑은 고딕" w:hAnsi="맑은 고딕" w:eastAsia="맑은 고딕"/>
                <w:sz w:val="19"/>
              </w:rPr>
              <w:t>1년 만에 102,432명 가입</w:t>
            </w:r>
          </w:p>
        </w:tc>
        <w:tc>
          <w:tcPr>
            <w:tcW w:type="dxa" w:w="2835"/>
          </w:tcPr>
          <w:p>
            <w:r/>
            <w:r>
              <w:rPr>
                <w:rFonts w:ascii="맑은 고딕" w:hAnsi="맑은 고딕" w:eastAsia="맑은 고딕"/>
                <w:sz w:val="19"/>
              </w:rPr>
              <w:t>가입·확산 설계가 이용률을 만든다 → 2단계 확산 전략</w:t>
            </w:r>
          </w:p>
        </w:tc>
      </w:tr>
      <w:tr>
        <w:tc>
          <w:tcPr>
            <w:tcW w:type="dxa" w:w="1474"/>
          </w:tcPr>
          <w:p>
            <w:r/>
            <w:r>
              <w:rPr>
                <w:rFonts w:ascii="맑은 고딕" w:hAnsi="맑은 고딕" w:eastAsia="맑은 고딕"/>
                <w:sz w:val="19"/>
              </w:rPr>
              <w:t>아이톡톡</w:t>
            </w:r>
          </w:p>
        </w:tc>
        <w:tc>
          <w:tcPr>
            <w:tcW w:type="dxa" w:w="1361"/>
          </w:tcPr>
          <w:p>
            <w:r/>
            <w:r>
              <w:rPr>
                <w:rFonts w:ascii="맑은 고딕" w:hAnsi="맑은 고딕" w:eastAsia="맑은 고딕"/>
                <w:sz w:val="19"/>
              </w:rPr>
              <w:t>2021.3 배포</w:t>
            </w:r>
          </w:p>
        </w:tc>
        <w:tc>
          <w:tcPr>
            <w:tcW w:type="dxa" w:w="1928"/>
          </w:tcPr>
          <w:p>
            <w:r/>
            <w:r>
              <w:rPr>
                <w:rFonts w:ascii="맑은 고딕" w:hAnsi="맑은 고딕" w:eastAsia="맑은 고딕"/>
                <w:sz w:val="19"/>
              </w:rPr>
              <w:t>경상남도교육청</w:t>
            </w:r>
          </w:p>
        </w:tc>
        <w:tc>
          <w:tcPr>
            <w:tcW w:type="dxa" w:w="2041"/>
          </w:tcPr>
          <w:p>
            <w:r/>
            <w:r>
              <w:rPr>
                <w:rFonts w:ascii="맑은 고딕" w:hAnsi="맑은 고딕" w:eastAsia="맑은 고딕"/>
                <w:sz w:val="19"/>
              </w:rPr>
              <w:t>교육 데이터 주권 모델로 평가</w:t>
            </w:r>
          </w:p>
        </w:tc>
        <w:tc>
          <w:tcPr>
            <w:tcW w:type="dxa" w:w="2835"/>
          </w:tcPr>
          <w:p>
            <w:r/>
            <w:r>
              <w:rPr>
                <w:rFonts w:ascii="맑은 고딕" w:hAnsi="맑은 고딕" w:eastAsia="맑은 고딕"/>
                <w:sz w:val="19"/>
              </w:rPr>
              <w:t>이용 데이터의 교육청 자산화 → 스킬·검색 데이터를 부산교육청 자산으로 축적</w:t>
            </w:r>
          </w:p>
        </w:tc>
      </w:tr>
      <w:tr>
        <w:tc>
          <w:tcPr>
            <w:tcW w:type="dxa" w:w="1474"/>
          </w:tcPr>
          <w:p>
            <w:r/>
            <w:r>
              <w:rPr>
                <w:rFonts w:ascii="맑은 고딕" w:hAnsi="맑은 고딕" w:eastAsia="맑은 고딕"/>
                <w:sz w:val="19"/>
              </w:rPr>
              <w:t>e학습터</w:t>
            </w:r>
          </w:p>
        </w:tc>
        <w:tc>
          <w:tcPr>
            <w:tcW w:type="dxa" w:w="1361"/>
          </w:tcPr>
          <w:p>
            <w:r/>
            <w:r>
              <w:rPr>
                <w:rFonts w:ascii="맑은 고딕" w:hAnsi="맑은 고딕" w:eastAsia="맑은 고딕"/>
                <w:sz w:val="19"/>
              </w:rPr>
              <w:t>2018.3 출시</w:t>
            </w:r>
          </w:p>
        </w:tc>
        <w:tc>
          <w:tcPr>
            <w:tcW w:type="dxa" w:w="1928"/>
          </w:tcPr>
          <w:p>
            <w:r/>
            <w:r>
              <w:rPr>
                <w:rFonts w:ascii="맑은 고딕" w:hAnsi="맑은 고딕" w:eastAsia="맑은 고딕"/>
                <w:sz w:val="19"/>
              </w:rPr>
              <w:t>KERIS</w:t>
            </w:r>
          </w:p>
        </w:tc>
        <w:tc>
          <w:tcPr>
            <w:tcW w:type="dxa" w:w="2041"/>
          </w:tcPr>
          <w:p>
            <w:r/>
            <w:r>
              <w:rPr>
                <w:rFonts w:ascii="맑은 고딕" w:hAnsi="맑은 고딕" w:eastAsia="맑은 고딕"/>
                <w:sz w:val="19"/>
              </w:rPr>
              <w:t>2026.2.28 서비스 종료</w:t>
            </w:r>
          </w:p>
        </w:tc>
        <w:tc>
          <w:tcPr>
            <w:tcW w:type="dxa" w:w="2835"/>
          </w:tcPr>
          <w:p>
            <w:r/>
            <w:r>
              <w:rPr>
                <w:rFonts w:ascii="맑은 고딕" w:hAnsi="맑은 고딕" w:eastAsia="맑은 고딕"/>
                <w:sz w:val="19"/>
              </w:rPr>
              <w:t>구축 후 방치는 서비스 종료로 이어진다 → 운영 이관·갱신 체계를 사업 범위에 내장</w:t>
            </w:r>
          </w:p>
        </w:tc>
      </w:tr>
    </w:tbl>
    <w:p>
      <w:pPr>
        <w:pStyle w:val="Note"/>
      </w:pPr>
    </w:p>
    <w:p>
      <w:pPr>
        <w:pStyle w:val="Heading2"/>
      </w:pPr>
      <w:r>
        <w:t>Ⅱ-4. 부산 기존 시스템과의 관계 — 중복이 아니라 연계</w:t>
      </w:r>
    </w:p>
    <w:p>
      <w:pPr>
        <w:jc w:val="center"/>
      </w:pPr>
      <w:r>
        <w:drawing>
          <wp:inline xmlns:a="http://schemas.openxmlformats.org/drawingml/2006/main" xmlns:pic="http://schemas.openxmlformats.org/drawingml/2006/picture">
            <wp:extent cx="5760000" cy="3384000"/>
            <wp:docPr id="4" name="Picture 4"/>
            <wp:cNvGraphicFramePr>
              <a:graphicFrameLocks noChangeAspect="1"/>
            </wp:cNvGraphicFramePr>
            <a:graphic>
              <a:graphicData uri="http://schemas.openxmlformats.org/drawingml/2006/picture">
                <pic:pic>
                  <pic:nvPicPr>
                    <pic:cNvPr id="0" name="landscape.png"/>
                    <pic:cNvPicPr/>
                  </pic:nvPicPr>
                  <pic:blipFill>
                    <a:blip r:embed="rId13"/>
                    <a:stretch>
                      <a:fillRect/>
                    </a:stretch>
                  </pic:blipFill>
                  <pic:spPr>
                    <a:xfrm>
                      <a:off x="0" y="0"/>
                      <a:ext cx="5760000" cy="3384000"/>
                    </a:xfrm>
                    <a:prstGeom prst="rect"/>
                  </pic:spPr>
                </pic:pic>
              </a:graphicData>
            </a:graphic>
          </wp:inline>
        </w:drawing>
      </w:r>
    </w:p>
    <w:p>
      <w:pPr>
        <w:pStyle w:val="Caption2"/>
        <w:jc w:val="center"/>
      </w:pPr>
      <w:r>
        <w:t>[그림 3] 부산은 AI 도구 계층을 전국 최고 수준으로 갖췄다 — 본 사업은 그 위의 지식 계층 공백을 채운다</w:t>
      </w:r>
    </w:p>
    <w:p>
      <w:pPr/>
      <w:r>
        <w:t>부산교육청이 운영 중인 AI 서비스들은 모두 'AI를 쓰는 도구'입니다. 본 포털은 'AI를 잘 쓰는 법(스킬)'을 축적·공유하는 지식 계층으로 역할이 다르며, 기존 시스템 전체가 콘텐츠 공급원이자 연계 대상이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기존 시스템</w:t>
            </w:r>
          </w:p>
        </w:tc>
        <w:tc>
          <w:tcPr>
            <w:tcW w:type="dxa" w:w="3012"/>
            <w:shd w:val="clear" w:fill="1F3A5F"/>
          </w:tcPr>
          <w:p>
            <w:r/>
            <w:r>
              <w:rPr>
                <w:rFonts w:ascii="맑은 고딕" w:hAnsi="맑은 고딕" w:eastAsia="맑은 고딕"/>
                <w:b/>
                <w:color w:val="FFFFFF"/>
                <w:sz w:val="19"/>
              </w:rPr>
              <w:t>성격</w:t>
            </w:r>
          </w:p>
        </w:tc>
        <w:tc>
          <w:tcPr>
            <w:tcW w:type="dxa" w:w="2409"/>
            <w:shd w:val="clear" w:fill="1F3A5F"/>
          </w:tcPr>
          <w:p>
            <w:r/>
            <w:r>
              <w:rPr>
                <w:rFonts w:ascii="맑은 고딕" w:hAnsi="맑은 고딕" w:eastAsia="맑은 고딕"/>
                <w:b/>
                <w:color w:val="FFFFFF"/>
                <w:sz w:val="19"/>
              </w:rPr>
              <w:t>본 사업과의 구분</w:t>
            </w:r>
          </w:p>
        </w:tc>
        <w:tc>
          <w:tcPr>
            <w:tcW w:type="dxa" w:w="2650"/>
            <w:shd w:val="clear" w:fill="1F3A5F"/>
          </w:tcPr>
          <w:p>
            <w:r/>
            <w:r>
              <w:rPr>
                <w:rFonts w:ascii="맑은 고딕" w:hAnsi="맑은 고딕" w:eastAsia="맑은 고딕"/>
                <w:b/>
                <w:color w:val="FFFFFF"/>
                <w:sz w:val="19"/>
              </w:rPr>
              <w:t>연계 방안</w:t>
            </w:r>
          </w:p>
        </w:tc>
      </w:tr>
      <w:tr>
        <w:tc>
          <w:tcPr>
            <w:tcW w:type="dxa" w:w="1566"/>
          </w:tcPr>
          <w:p>
            <w:r/>
            <w:r>
              <w:rPr>
                <w:rFonts w:ascii="맑은 고딕" w:hAnsi="맑은 고딕" w:eastAsia="맑은 고딕"/>
                <w:sz w:val="19"/>
              </w:rPr>
              <w:t>BeAT</w:t>
            </w:r>
          </w:p>
        </w:tc>
        <w:tc>
          <w:tcPr>
            <w:tcW w:type="dxa" w:w="3012"/>
          </w:tcPr>
          <w:p>
            <w:r/>
            <w:r>
              <w:rPr>
                <w:rFonts w:ascii="맑은 고딕" w:hAnsi="맑은 고딕" w:eastAsia="맑은 고딕"/>
                <w:sz w:val="19"/>
              </w:rPr>
              <w:t>교사·학생 AI 튜터(교사용 2026.4, 학생용 2026.6 개통)</w:t>
            </w:r>
          </w:p>
        </w:tc>
        <w:tc>
          <w:tcPr>
            <w:tcW w:type="dxa" w:w="2409"/>
          </w:tcPr>
          <w:p>
            <w:r/>
            <w:r>
              <w:rPr>
                <w:rFonts w:ascii="맑은 고딕" w:hAnsi="맑은 고딕" w:eastAsia="맑은 고딕"/>
                <w:sz w:val="19"/>
              </w:rPr>
              <w:t>AI를 '쓰는' 교수·학습 도구</w:t>
            </w:r>
          </w:p>
        </w:tc>
        <w:tc>
          <w:tcPr>
            <w:tcW w:type="dxa" w:w="2650"/>
          </w:tcPr>
          <w:p>
            <w:r/>
            <w:r>
              <w:rPr>
                <w:rFonts w:ascii="맑은 고딕" w:hAnsi="맑은 고딕" w:eastAsia="맑은 고딕"/>
                <w:sz w:val="19"/>
              </w:rPr>
              <w:t>BeAT 활용 스킬·프롬프트를 아카이브 핵심 카테고리로 편성</w:t>
            </w:r>
          </w:p>
        </w:tc>
      </w:tr>
      <w:tr>
        <w:tc>
          <w:tcPr>
            <w:tcW w:type="dxa" w:w="1566"/>
          </w:tcPr>
          <w:p>
            <w:r/>
            <w:r>
              <w:rPr>
                <w:rFonts w:ascii="맑은 고딕" w:hAnsi="맑은 고딕" w:eastAsia="맑은 고딕"/>
                <w:sz w:val="19"/>
              </w:rPr>
              <w:t>PenGPT</w:t>
            </w:r>
          </w:p>
        </w:tc>
        <w:tc>
          <w:tcPr>
            <w:tcW w:type="dxa" w:w="3012"/>
          </w:tcPr>
          <w:p>
            <w:r/>
            <w:r>
              <w:rPr>
                <w:rFonts w:ascii="맑은 고딕" w:hAnsi="맑은 고딕" w:eastAsia="맑은 고딕"/>
                <w:sz w:val="19"/>
              </w:rPr>
              <w:t>교직원 AI 비서(2025.9 전면 개통, 약 3만 명)</w:t>
            </w:r>
          </w:p>
        </w:tc>
        <w:tc>
          <w:tcPr>
            <w:tcW w:type="dxa" w:w="2409"/>
          </w:tcPr>
          <w:p>
            <w:r/>
            <w:r>
              <w:rPr>
                <w:rFonts w:ascii="맑은 고딕" w:hAnsi="맑은 고딕" w:eastAsia="맑은 고딕"/>
                <w:sz w:val="19"/>
              </w:rPr>
              <w:t>행정업무 자동화 도구</w:t>
            </w:r>
          </w:p>
        </w:tc>
        <w:tc>
          <w:tcPr>
            <w:tcW w:type="dxa" w:w="2650"/>
          </w:tcPr>
          <w:p>
            <w:r/>
            <w:r>
              <w:rPr>
                <w:rFonts w:ascii="맑은 고딕" w:hAnsi="맑은 고딕" w:eastAsia="맑은 고딕"/>
                <w:sz w:val="19"/>
              </w:rPr>
              <w:t>행정 스킬 카테고리로 활용 노하우 수록</w:t>
            </w:r>
          </w:p>
        </w:tc>
      </w:tr>
      <w:tr>
        <w:tc>
          <w:tcPr>
            <w:tcW w:type="dxa" w:w="1566"/>
          </w:tcPr>
          <w:p>
            <w:r/>
            <w:r>
              <w:rPr>
                <w:rFonts w:ascii="맑은 고딕" w:hAnsi="맑은 고딕" w:eastAsia="맑은 고딕"/>
                <w:sz w:val="19"/>
              </w:rPr>
              <w:t>PENZ</w:t>
            </w:r>
          </w:p>
        </w:tc>
        <w:tc>
          <w:tcPr>
            <w:tcW w:type="dxa" w:w="3012"/>
          </w:tcPr>
          <w:p>
            <w:r/>
            <w:r>
              <w:rPr>
                <w:rFonts w:ascii="맑은 고딕" w:hAnsi="맑은 고딕" w:eastAsia="맑은 고딕"/>
                <w:sz w:val="19"/>
              </w:rPr>
              <w:t>전 학생·교직원 통합계정(2026.9 전면 도입 예정)</w:t>
            </w:r>
          </w:p>
        </w:tc>
        <w:tc>
          <w:tcPr>
            <w:tcW w:type="dxa" w:w="2409"/>
          </w:tcPr>
          <w:p>
            <w:r/>
            <w:r>
              <w:rPr>
                <w:rFonts w:ascii="맑은 고딕" w:hAnsi="맑은 고딕" w:eastAsia="맑은 고딕"/>
                <w:sz w:val="19"/>
              </w:rPr>
              <w:t>인증(SSO) 인프라 — 기능 중복 없음</w:t>
            </w:r>
          </w:p>
        </w:tc>
        <w:tc>
          <w:tcPr>
            <w:tcW w:type="dxa" w:w="2650"/>
          </w:tcPr>
          <w:p>
            <w:r/>
            <w:r>
              <w:rPr>
                <w:rFonts w:ascii="맑은 고딕" w:hAnsi="맑은 고딕" w:eastAsia="맑은 고딕"/>
                <w:sz w:val="19"/>
              </w:rPr>
              <w:t>회원 인증 연계 1순위 후보 — 신규 계정 구축 부담 제거</w:t>
            </w:r>
          </w:p>
        </w:tc>
      </w:tr>
      <w:tr>
        <w:tc>
          <w:tcPr>
            <w:tcW w:type="dxa" w:w="1566"/>
          </w:tcPr>
          <w:p>
            <w:r/>
            <w:r>
              <w:rPr>
                <w:rFonts w:ascii="맑은 고딕" w:hAnsi="맑은 고딕" w:eastAsia="맑은 고딕"/>
                <w:sz w:val="19"/>
              </w:rPr>
              <w:t>BASS</w:t>
            </w:r>
          </w:p>
        </w:tc>
        <w:tc>
          <w:tcPr>
            <w:tcW w:type="dxa" w:w="3012"/>
          </w:tcPr>
          <w:p>
            <w:r/>
            <w:r>
              <w:rPr>
                <w:rFonts w:ascii="맑은 고딕" w:hAnsi="맑은 고딕" w:eastAsia="맑은 고딕"/>
                <w:sz w:val="19"/>
              </w:rPr>
              <w:t>부산학력향상지원시스템 — AI 학력 진단·맞춤학습(2023.9)</w:t>
            </w:r>
          </w:p>
        </w:tc>
        <w:tc>
          <w:tcPr>
            <w:tcW w:type="dxa" w:w="2409"/>
          </w:tcPr>
          <w:p>
            <w:r/>
            <w:r>
              <w:rPr>
                <w:rFonts w:ascii="맑은 고딕" w:hAnsi="맑은 고딕" w:eastAsia="맑은 고딕"/>
                <w:sz w:val="19"/>
              </w:rPr>
              <w:t>학생 학습 플랫폼</w:t>
            </w:r>
          </w:p>
        </w:tc>
        <w:tc>
          <w:tcPr>
            <w:tcW w:type="dxa" w:w="2650"/>
          </w:tcPr>
          <w:p>
            <w:r/>
            <w:r>
              <w:rPr>
                <w:rFonts w:ascii="맑은 고딕" w:hAnsi="맑은 고딕" w:eastAsia="맑은 고딕"/>
                <w:sz w:val="19"/>
              </w:rPr>
              <w:t>역할 구분 명시 — 학생 학습 vs 교원 지식</w:t>
            </w:r>
          </w:p>
        </w:tc>
      </w:tr>
      <w:tr>
        <w:tc>
          <w:tcPr>
            <w:tcW w:type="dxa" w:w="1566"/>
          </w:tcPr>
          <w:p>
            <w:r/>
            <w:r>
              <w:rPr>
                <w:rFonts w:ascii="맑은 고딕" w:hAnsi="맑은 고딕" w:eastAsia="맑은 고딕"/>
                <w:sz w:val="19"/>
              </w:rPr>
              <w:t>부산에듀원</w:t>
            </w:r>
          </w:p>
        </w:tc>
        <w:tc>
          <w:tcPr>
            <w:tcW w:type="dxa" w:w="3012"/>
          </w:tcPr>
          <w:p>
            <w:r/>
            <w:r>
              <w:rPr>
                <w:rFonts w:ascii="맑은 고딕" w:hAnsi="맑은 고딕" w:eastAsia="맑은 고딕"/>
                <w:sz w:val="19"/>
              </w:rPr>
              <w:t>통합 학습·실습 플랫폼</w:t>
            </w:r>
          </w:p>
        </w:tc>
        <w:tc>
          <w:tcPr>
            <w:tcW w:type="dxa" w:w="2409"/>
          </w:tcPr>
          <w:p>
            <w:r/>
            <w:r>
              <w:rPr>
                <w:rFonts w:ascii="맑은 고딕" w:hAnsi="맑은 고딕" w:eastAsia="맑은 고딕"/>
                <w:sz w:val="19"/>
              </w:rPr>
              <w:t>실습·LMS 실행 환경</w:t>
            </w:r>
          </w:p>
        </w:tc>
        <w:tc>
          <w:tcPr>
            <w:tcW w:type="dxa" w:w="2650"/>
          </w:tcPr>
          <w:p>
            <w:r/>
            <w:r>
              <w:rPr>
                <w:rFonts w:ascii="맑은 고딕" w:hAnsi="맑은 고딕" w:eastAsia="맑은 고딕"/>
                <w:sz w:val="19"/>
              </w:rPr>
              <w:t>스킬 실습장으로 상호 링크</w:t>
            </w:r>
          </w:p>
        </w:tc>
      </w:tr>
      <w:tr>
        <w:tc>
          <w:tcPr>
            <w:tcW w:type="dxa" w:w="1566"/>
          </w:tcPr>
          <w:p>
            <w:r/>
            <w:r>
              <w:rPr>
                <w:rFonts w:ascii="맑은 고딕" w:hAnsi="맑은 고딕" w:eastAsia="맑은 고딕"/>
                <w:sz w:val="19"/>
              </w:rPr>
              <w:t>부산교수학습샘터</w:t>
            </w:r>
          </w:p>
        </w:tc>
        <w:tc>
          <w:tcPr>
            <w:tcW w:type="dxa" w:w="3012"/>
          </w:tcPr>
          <w:p>
            <w:r/>
            <w:r>
              <w:rPr>
                <w:rFonts w:ascii="맑은 고딕" w:hAnsi="맑은 고딕" w:eastAsia="맑은 고딕"/>
                <w:sz w:val="19"/>
              </w:rPr>
              <w:t>수업자료 공유 사이트</w:t>
            </w:r>
          </w:p>
        </w:tc>
        <w:tc>
          <w:tcPr>
            <w:tcW w:type="dxa" w:w="2409"/>
          </w:tcPr>
          <w:p>
            <w:r/>
            <w:r>
              <w:rPr>
                <w:rFonts w:ascii="맑은 고딕" w:hAnsi="맑은 고딕" w:eastAsia="맑은 고딕"/>
                <w:sz w:val="19"/>
              </w:rPr>
              <w:t>정적 자료 게시판 — 실행형 AI 스킬 아카이브와 상이</w:t>
            </w:r>
          </w:p>
        </w:tc>
        <w:tc>
          <w:tcPr>
            <w:tcW w:type="dxa" w:w="2650"/>
          </w:tcPr>
          <w:p>
            <w:r/>
            <w:r>
              <w:rPr>
                <w:rFonts w:ascii="맑은 고딕" w:hAnsi="맑은 고딕" w:eastAsia="맑은 고딕"/>
                <w:sz w:val="19"/>
              </w:rPr>
              <w:t>기존 자료의 AI 스킬화 이관 경로 제시</w:t>
            </w:r>
          </w:p>
        </w:tc>
      </w:tr>
      <w:tr>
        <w:tc>
          <w:tcPr>
            <w:tcW w:type="dxa" w:w="1566"/>
          </w:tcPr>
          <w:p>
            <w:r/>
            <w:r>
              <w:rPr>
                <w:rFonts w:ascii="맑은 고딕" w:hAnsi="맑은 고딕" w:eastAsia="맑은 고딕"/>
                <w:sz w:val="19"/>
              </w:rPr>
              <w:t>배움누리터</w:t>
            </w:r>
          </w:p>
        </w:tc>
        <w:tc>
          <w:tcPr>
            <w:tcW w:type="dxa" w:w="3012"/>
          </w:tcPr>
          <w:p>
            <w:r/>
            <w:r>
              <w:rPr>
                <w:rFonts w:ascii="맑은 고딕" w:hAnsi="맑은 고딕" w:eastAsia="맑은 고딕"/>
                <w:sz w:val="19"/>
              </w:rPr>
              <w:t>교원 원격연수 플랫폼(교육연구정보원)</w:t>
            </w:r>
          </w:p>
        </w:tc>
        <w:tc>
          <w:tcPr>
            <w:tcW w:type="dxa" w:w="2409"/>
          </w:tcPr>
          <w:p>
            <w:r/>
            <w:r>
              <w:rPr>
                <w:rFonts w:ascii="맑은 고딕" w:hAnsi="맑은 고딕" w:eastAsia="맑은 고딕"/>
                <w:sz w:val="19"/>
              </w:rPr>
              <w:t>연수 이수 플랫폼</w:t>
            </w:r>
          </w:p>
        </w:tc>
        <w:tc>
          <w:tcPr>
            <w:tcW w:type="dxa" w:w="2650"/>
          </w:tcPr>
          <w:p>
            <w:r/>
            <w:r>
              <w:rPr>
                <w:rFonts w:ascii="맑은 고딕" w:hAnsi="맑은 고딕" w:eastAsia="맑은 고딕"/>
                <w:sz w:val="19"/>
              </w:rPr>
              <w:t>우수 스킬의 연수 콘텐츠화·확산 채널</w:t>
            </w:r>
          </w:p>
        </w:tc>
      </w:tr>
    </w:tbl>
    <w:p>
      <w:pPr>
        <w:pStyle w:val="Note"/>
      </w:pPr>
    </w:p>
    <w:p>
      <w:pPr>
        <w:pStyle w:val="Heading2"/>
      </w:pPr>
      <w:r>
        <w:t>Ⅱ-5. 확산 전략 — 시드 저자군에서 전 교원으로</w:t>
      </w:r>
    </w:p>
    <w:p>
      <w:pPr>
        <w:jc w:val="center"/>
      </w:pPr>
      <w:r>
        <w:drawing>
          <wp:inline xmlns:a="http://schemas.openxmlformats.org/drawingml/2006/main" xmlns:pic="http://schemas.openxmlformats.org/drawingml/2006/picture">
            <wp:extent cx="5760000" cy="3483000"/>
            <wp:docPr id="5" name="Picture 5"/>
            <wp:cNvGraphicFramePr>
              <a:graphicFrameLocks noChangeAspect="1"/>
            </wp:cNvGraphicFramePr>
            <a:graphic>
              <a:graphicData uri="http://schemas.openxmlformats.org/drawingml/2006/picture">
                <pic:pic>
                  <pic:nvPicPr>
                    <pic:cNvPr id="0" name="seeding.png"/>
                    <pic:cNvPicPr/>
                  </pic:nvPicPr>
                  <pic:blipFill>
                    <a:blip r:embed="rId14"/>
                    <a:stretch>
                      <a:fillRect/>
                    </a:stretch>
                  </pic:blipFill>
                  <pic:spPr>
                    <a:xfrm>
                      <a:off x="0" y="0"/>
                      <a:ext cx="5760000" cy="3483000"/>
                    </a:xfrm>
                    <a:prstGeom prst="rect"/>
                  </pic:spPr>
                </pic:pic>
              </a:graphicData>
            </a:graphic>
          </wp:inline>
        </w:drawing>
      </w:r>
    </w:p>
    <w:p>
      <w:pPr>
        <w:pStyle w:val="Caption2"/>
        <w:jc w:val="center"/>
      </w:pPr>
      <w:r>
        <w:t>[그림 4] 검증된 시드 저자군에서 시작해 관내 교원 25,579명으로 확산한다</w:t>
      </w:r>
    </w:p>
    <w:p>
      <w:pPr/>
      <w:r>
        <w:t>1단계 시드 저자군은 이미 존재합니다. AI 에이전트 워크숍 참여 교원·교육전문직 250명, 찾아가는 연수 전문 강사요원 65명, 부산형 AI 교육 선도학교 네트워크가 초기 콘텐츠 제작·검수의 파트너입니다. 개통 후에는 부산광역시교육청교육연구정보원의 연수 채널과 연계해 전 교원으로 확산합니다. 확산 성과는 관리자 통계(가입·다운로드)로 매월 확인합니다.</w:t>
      </w:r>
    </w:p>
    <w:p>
      <w:pPr/>
      <w:r>
        <w:t>B안은 아카이브를 넘어 참여형 포털로 도약하는 안입니다. 회원·평점·후기 체계가 현장 검증 데이터를 만들고, 버전 관리가 생성형 AI 서비스의 변화 속도에 자료가 따라가게 합니다 — '자료의 양'이 아니라 '활용도'로 성장하는 구조입니다.</w:t>
      </w:r>
    </w:p>
    <w:p>
      <w:pPr>
        <w:pStyle w:val="Heading2"/>
      </w:pPr>
      <w:r>
        <w:t>Ⅱ-6. 추진 전략</w:t>
      </w:r>
    </w:p>
    <w:tbl>
      <w:tblPr>
        <w:tblStyle w:val="TableGrid"/>
        <w:tblW w:type="auto" w:w="0"/>
        <w:jc w:val="center"/>
        <w:tblLook w:firstColumn="1" w:firstRow="1" w:lastColumn="0" w:lastRow="0" w:noHBand="0" w:noVBand="1" w:val="04A0"/>
      </w:tblPr>
      <w:tblGrid>
        <w:gridCol w:w="3213"/>
        <w:gridCol w:w="3213"/>
        <w:gridCol w:w="3213"/>
      </w:tblGrid>
      <w:tr>
        <w:tc>
          <w:tcPr>
            <w:tcW w:type="dxa" w:w="1566"/>
            <w:shd w:val="clear" w:fill="1F3A5F"/>
          </w:tcPr>
          <w:p>
            <w:r/>
            <w:r>
              <w:rPr>
                <w:rFonts w:ascii="맑은 고딕" w:hAnsi="맑은 고딕" w:eastAsia="맑은 고딕"/>
                <w:b/>
                <w:color w:val="FFFFFF"/>
                <w:sz w:val="19"/>
              </w:rPr>
              <w:t>전략</w:t>
            </w:r>
          </w:p>
        </w:tc>
        <w:tc>
          <w:tcPr>
            <w:tcW w:type="dxa" w:w="5421"/>
            <w:shd w:val="clear" w:fill="1F3A5F"/>
          </w:tcPr>
          <w:p>
            <w:r/>
            <w:r>
              <w:rPr>
                <w:rFonts w:ascii="맑은 고딕" w:hAnsi="맑은 고딕" w:eastAsia="맑은 고딕"/>
                <w:b/>
                <w:color w:val="FFFFFF"/>
                <w:sz w:val="19"/>
              </w:rPr>
              <w:t>실행 방법</w:t>
            </w:r>
          </w:p>
        </w:tc>
        <w:tc>
          <w:tcPr>
            <w:tcW w:type="dxa" w:w="2650"/>
            <w:shd w:val="clear" w:fill="1F3A5F"/>
          </w:tcPr>
          <w:p>
            <w:r/>
            <w:r>
              <w:rPr>
                <w:rFonts w:ascii="맑은 고딕" w:hAnsi="맑은 고딕" w:eastAsia="맑은 고딕"/>
                <w:b/>
                <w:color w:val="FFFFFF"/>
                <w:sz w:val="19"/>
              </w:rPr>
              <w:t>검증 수단</w:t>
            </w:r>
          </w:p>
        </w:tc>
      </w:tr>
      <w:tr>
        <w:tc>
          <w:tcPr>
            <w:tcW w:type="dxa" w:w="1566"/>
          </w:tcPr>
          <w:p>
            <w:r/>
            <w:r>
              <w:rPr>
                <w:rFonts w:ascii="맑은 고딕" w:hAnsi="맑은 고딕" w:eastAsia="맑은 고딕"/>
                <w:sz w:val="19"/>
              </w:rPr>
              <w:t>신속 개통</w:t>
            </w:r>
          </w:p>
        </w:tc>
        <w:tc>
          <w:tcPr>
            <w:tcW w:type="dxa" w:w="5421"/>
          </w:tcPr>
          <w:p>
            <w:r/>
            <w:r>
              <w:rPr>
                <w:rFonts w:ascii="맑은 고딕" w:hAnsi="맑은 고딕" w:eastAsia="맑은 고딕"/>
                <w:sz w:val="19"/>
              </w:rPr>
              <w:t>12주 내 개통 — 검증된 웹 스택과 기보유 CMS 코어 재사용으로 신규 개발 범위를 축소한다(Ⅶ장 산출내역의 FP 계상 근거)</w:t>
            </w:r>
          </w:p>
        </w:tc>
        <w:tc>
          <w:tcPr>
            <w:tcW w:type="dxa" w:w="2650"/>
          </w:tcPr>
          <w:p>
            <w:r/>
            <w:r>
              <w:rPr>
                <w:rFonts w:ascii="맑은 고딕" w:hAnsi="맑은 고딕" w:eastAsia="맑은 고딕"/>
                <w:sz w:val="19"/>
              </w:rPr>
              <w:t>주 단위 공정표(Ⅴ장)</w:t>
            </w:r>
          </w:p>
        </w:tc>
      </w:tr>
      <w:tr>
        <w:tc>
          <w:tcPr>
            <w:tcW w:type="dxa" w:w="1566"/>
          </w:tcPr>
          <w:p>
            <w:r/>
            <w:r>
              <w:rPr>
                <w:rFonts w:ascii="맑은 고딕" w:hAnsi="맑은 고딕" w:eastAsia="맑은 고딕"/>
                <w:sz w:val="19"/>
              </w:rPr>
              <w:t>검증된 콘텐츠</w:t>
            </w:r>
          </w:p>
        </w:tc>
        <w:tc>
          <w:tcPr>
            <w:tcW w:type="dxa" w:w="5421"/>
          </w:tcPr>
          <w:p>
            <w:r/>
            <w:r>
              <w:rPr>
                <w:rFonts w:ascii="맑은 고딕" w:hAnsi="맑은 고딕" w:eastAsia="맑은 고딕"/>
                <w:sz w:val="19"/>
              </w:rPr>
              <w:t>스킬 25종 전량을 상용 생성형 AI 동작 검증과 현직 교원 검수를 거쳐 게시한다</w:t>
            </w:r>
          </w:p>
        </w:tc>
        <w:tc>
          <w:tcPr>
            <w:tcW w:type="dxa" w:w="2650"/>
          </w:tcPr>
          <w:p>
            <w:r/>
            <w:r>
              <w:rPr>
                <w:rFonts w:ascii="맑은 고딕" w:hAnsi="맑은 고딕" w:eastAsia="맑은 고딕"/>
                <w:sz w:val="19"/>
              </w:rPr>
              <w:t>검수확인서·Ⅲ장 제작 프로세스</w:t>
            </w:r>
          </w:p>
        </w:tc>
      </w:tr>
      <w:tr>
        <w:tc>
          <w:tcPr>
            <w:tcW w:type="dxa" w:w="1566"/>
          </w:tcPr>
          <w:p>
            <w:r/>
            <w:r>
              <w:rPr>
                <w:rFonts w:ascii="맑은 고딕" w:hAnsi="맑은 고딕" w:eastAsia="맑은 고딕"/>
                <w:sz w:val="19"/>
              </w:rPr>
              <w:t>현장 확산</w:t>
            </w:r>
          </w:p>
        </w:tc>
        <w:tc>
          <w:tcPr>
            <w:tcW w:type="dxa" w:w="5421"/>
          </w:tcPr>
          <w:p>
            <w:r/>
            <w:r>
              <w:rPr>
                <w:rFonts w:ascii="맑은 고딕" w:hAnsi="맑은 고딕" w:eastAsia="맑은 고딕"/>
                <w:sz w:val="19"/>
              </w:rPr>
              <w:t>시드 저자군 연계와 이용 통계 기반 운영으로 개통 이후의 이용률을 만든다</w:t>
            </w:r>
          </w:p>
        </w:tc>
        <w:tc>
          <w:tcPr>
            <w:tcW w:type="dxa" w:w="2650"/>
          </w:tcPr>
          <w:p>
            <w:r/>
            <w:r>
              <w:rPr>
                <w:rFonts w:ascii="맑은 고딕" w:hAnsi="맑은 고딕" w:eastAsia="맑은 고딕"/>
                <w:sz w:val="19"/>
              </w:rPr>
              <w:t>Ⅱ-5 확산 전략·관리자 통계</w:t>
            </w:r>
          </w:p>
        </w:tc>
      </w:tr>
      <w:tr>
        <w:tc>
          <w:tcPr>
            <w:tcW w:type="dxa" w:w="1566"/>
          </w:tcPr>
          <w:p>
            <w:r/>
            <w:r>
              <w:rPr>
                <w:rFonts w:ascii="맑은 고딕" w:hAnsi="맑은 고딕" w:eastAsia="맑은 고딕"/>
                <w:sz w:val="19"/>
              </w:rPr>
              <w:t>참여로 검증</w:t>
            </w:r>
          </w:p>
        </w:tc>
        <w:tc>
          <w:tcPr>
            <w:tcW w:type="dxa" w:w="5421"/>
          </w:tcPr>
          <w:p>
            <w:r/>
            <w:r>
              <w:rPr>
                <w:rFonts w:ascii="맑은 고딕" w:hAnsi="맑은 고딕" w:eastAsia="맑은 고딕"/>
                <w:sz w:val="19"/>
              </w:rPr>
              <w:t>평점·후기·즐겨찾기 데이터가 우수 자료를 상위 노출하고 미충족 수요를 드러낸다</w:t>
            </w:r>
          </w:p>
        </w:tc>
        <w:tc>
          <w:tcPr>
            <w:tcW w:type="dxa" w:w="2650"/>
          </w:tcPr>
          <w:p>
            <w:r/>
            <w:r>
              <w:rPr>
                <w:rFonts w:ascii="맑은 고딕" w:hAnsi="맑은 고딕" w:eastAsia="맑은 고딕"/>
                <w:sz w:val="19"/>
              </w:rPr>
              <w:t>관리자 통계 리포트(SFR-012)</w:t>
            </w:r>
          </w:p>
        </w:tc>
      </w:tr>
    </w:tbl>
    <w:p>
      <w:pPr>
        <w:pStyle w:val="Note"/>
      </w:pPr>
    </w:p>
    <w:p>
      <w:pPr>
        <w:pStyle w:val="Heading2"/>
      </w:pPr>
      <w:r>
        <w:t>Ⅱ-7. 개발 방법론</w:t>
      </w:r>
    </w:p>
    <w:p>
      <w:pPr/>
      <w:r>
        <w:t>본 사업 규모(총 사업기간 12주)에서는 무거운 방법론보다 짧은 주기의 확인이 품질을 만듭니다. 2주 단위로 동작하는 화면을 발주기관에 공유하고, 화면설계서 승인(설계 단계)과 중간보고(개발 단계) 두 지점에서 요구사항 정의서 대비 이행 현황을 대조합니다. 담당: PM. 산출물: 단계별 검토 회의록.</w:t>
      </w:r>
    </w:p>
    <w:p>
      <w:r>
        <w:br w:type="page"/>
      </w:r>
    </w:p>
    <w:p>
      <w:pPr>
        <w:pStyle w:val="Heading1"/>
      </w:pPr>
      <w:r>
        <w:t>Ⅲ. 기술 및 기능</w:t>
      </w:r>
    </w:p>
    <w:p>
      <w:pPr>
        <w:pStyle w:val="Heading2"/>
      </w:pPr>
      <w:r>
        <w:t>Ⅲ-1. 시스템 개요</w:t>
      </w:r>
    </w:p>
    <w:p>
      <w:pPr>
        <w:jc w:val="center"/>
      </w:pPr>
      <w:r>
        <w:drawing>
          <wp:inline xmlns:a="http://schemas.openxmlformats.org/drawingml/2006/main" xmlns:pic="http://schemas.openxmlformats.org/drawingml/2006/picture">
            <wp:extent cx="5400000" cy="4345312"/>
            <wp:docPr id="6" name="Picture 6"/>
            <wp:cNvGraphicFramePr>
              <a:graphicFrameLocks noChangeAspect="1"/>
            </wp:cNvGraphicFramePr>
            <a:graphic>
              <a:graphicData uri="http://schemas.openxmlformats.org/drawingml/2006/picture">
                <pic:pic>
                  <pic:nvPicPr>
                    <pic:cNvPr id="0" name="arch_b.png"/>
                    <pic:cNvPicPr/>
                  </pic:nvPicPr>
                  <pic:blipFill>
                    <a:blip r:embed="rId15"/>
                    <a:stretch>
                      <a:fillRect/>
                    </a:stretch>
                  </pic:blipFill>
                  <pic:spPr>
                    <a:xfrm>
                      <a:off x="0" y="0"/>
                      <a:ext cx="5400000" cy="4345312"/>
                    </a:xfrm>
                    <a:prstGeom prst="rect"/>
                  </pic:spPr>
                </pic:pic>
              </a:graphicData>
            </a:graphic>
          </wp:inline>
        </w:drawing>
      </w:r>
    </w:p>
    <w:p>
      <w:pPr>
        <w:pStyle w:val="Caption2"/>
        <w:jc w:val="center"/>
      </w:pPr>
      <w:r>
        <w:t>[그림 5] 기본 기능 위에 회원·참여 계층을 더한 포털 구조 — 개인정보는 암호화 저장한다 (SFR-005 · SFR-006 · SFR-007 · SER-002)</w:t>
      </w:r>
    </w:p>
    <w:p>
      <w:pPr>
        <w:pStyle w:val="Heading2"/>
      </w:pPr>
      <w:r>
        <w:t>Ⅲ-2. 기능 요구사항 구현방안 — 교원이 검색 한 번으로 스킬에 도달하는 포털</w:t>
      </w:r>
    </w:p>
    <w:p>
      <w:pPr>
        <w:pStyle w:val="Heading3"/>
      </w:pPr>
      <w:r>
        <w:t>가. 스킬 탐색 — 4축 분류·다중 필터·미리보기</w:t>
      </w:r>
    </w:p>
    <w:p>
      <w:pPr>
        <w:pStyle w:val="IdBadge"/>
        <w:shd w:val="clear" w:fill="EEF2F7"/>
      </w:pPr>
      <w:r>
        <w:t>[대응 요구사항: SFR-001 · SFR-002 · SFR-003 · SFR-004]</w:t>
      </w:r>
    </w:p>
    <w:p>
      <w:pPr/>
      <w:r>
        <w:t>요구 분석 — 자료가 25종을 넘어서면 단일 분류로는 탐색이 무너진다. 학교급·교과·업무유형·활용도구 4축과 다중 조건 필터가 '내 상황'으로 좁히는 경로를 만든다.</w:t>
      </w:r>
    </w:p>
    <w:p>
      <w:pPr/>
      <w:r>
        <w:t>· 목록은 4축 다중 필터와 3종 정렬(최신·평점·다운로드)을 지원한다(SFR-001~003).</w:t>
      </w:r>
    </w:p>
    <w:p>
      <w:pPr/>
      <w:r>
        <w:t>· 설명 문서(README 형식)는 서식이 유지된 미리보기로 렌더링한다(SFR-004) — 내려받기 전에 내용을 판단하게 한다.</w:t>
      </w:r>
    </w:p>
    <w:p>
      <w:pPr/>
      <w:r>
        <w:t>· 필터 조합은 URL 로 보존해 교원 간 공유 링크가 같은 화면을 재현하게 한다.</w:t>
      </w:r>
    </w:p>
    <w:p>
      <w:pPr>
        <w:pStyle w:val="Note"/>
      </w:pPr>
      <w:r>
        <w:t>적용 기술: 다중 필터 색인 + 마크다운 렌더러(스크립트 이스케이프 처리)</w:t>
      </w:r>
    </w:p>
    <w:p>
      <w:pPr>
        <w:jc w:val="center"/>
      </w:pPr>
      <w:r>
        <w:drawing>
          <wp:inline xmlns:a="http://schemas.openxmlformats.org/drawingml/2006/main" xmlns:pic="http://schemas.openxmlformats.org/drawingml/2006/picture">
            <wp:extent cx="5400000" cy="3429000"/>
            <wp:docPr id="7" name="Picture 7"/>
            <wp:cNvGraphicFramePr>
              <a:graphicFrameLocks noChangeAspect="1"/>
            </wp:cNvGraphicFramePr>
            <a:graphic>
              <a:graphicData uri="http://schemas.openxmlformats.org/drawingml/2006/picture">
                <pic:pic>
                  <pic:nvPicPr>
                    <pic:cNvPr id="0" name="b_main.png"/>
                    <pic:cNvPicPr/>
                  </pic:nvPicPr>
                  <pic:blipFill>
                    <a:blip r:embed="rId16"/>
                    <a:stretch>
                      <a:fillRect/>
                    </a:stretch>
                  </pic:blipFill>
                  <pic:spPr>
                    <a:xfrm>
                      <a:off x="0" y="0"/>
                      <a:ext cx="5400000" cy="3429000"/>
                    </a:xfrm>
                    <a:prstGeom prst="rect"/>
                  </pic:spPr>
                </pic:pic>
              </a:graphicData>
            </a:graphic>
          </wp:inline>
        </w:drawing>
      </w:r>
    </w:p>
    <w:p>
      <w:pPr>
        <w:pStyle w:val="Caption2"/>
        <w:jc w:val="center"/>
      </w:pPr>
      <w:r>
        <w:t>[그림 6] 4축 필터·평점·컬렉션으로 현장에서 검증된 스킬이 먼저 보인다 (SFR-002 · SFR-003 · SFR-006 · SFR-008)</w:t>
      </w:r>
    </w:p>
    <w:p>
      <w:pPr>
        <w:pStyle w:val="Heading3"/>
      </w:pPr>
      <w:r>
        <w:t>나. 회원·권한</w:t>
      </w:r>
    </w:p>
    <w:p>
      <w:pPr>
        <w:pStyle w:val="IdBadge"/>
        <w:shd w:val="clear" w:fill="EEF2F7"/>
      </w:pPr>
      <w:r>
        <w:t>[대응 요구사항: SFR-005]</w:t>
      </w:r>
    </w:p>
    <w:p>
      <w:pPr/>
      <w:r>
        <w:t>요구 분석 — 평가·후기·즐겨찾기는 계정이 있어야 신뢰를 만든다. 다만 가입 장벽이 확산을 막지 않도록 열람·다운로드는 비로그인에도 개방한다.</w:t>
      </w:r>
    </w:p>
    <w:p>
      <w:pPr/>
      <w:r>
        <w:t>· 자체 회원가입 또는 발주기관 지정 인증수단 연동으로 로그인을 제공하고, 교원·관리자 권한을 구분한다(SFR-005).</w:t>
      </w:r>
    </w:p>
    <w:p>
      <w:pPr/>
      <w:r>
        <w:t>· 소속 학교급 정보를 수집해 목록 기본 필터에 반영한다 — 수집 항목은 최소화하고 처리방침·동의 절차를 구현한다.</w:t>
      </w:r>
    </w:p>
    <w:p>
      <w:pPr/>
      <w:r>
        <w:t>· 부산교육청 통합계정 PENZ(2026.9 전면 도입 예정)를 연동 1순위 후보로 설계에 반영해 계정 이중화를 방지한다.</w:t>
      </w:r>
    </w:p>
    <w:p>
      <w:pPr>
        <w:pStyle w:val="Note"/>
      </w:pPr>
      <w:r>
        <w:t>적용 기술: 표준 인증(OIDC 호환) + 역할 기반 접근 제어</w:t>
      </w:r>
    </w:p>
    <w:p>
      <w:pPr>
        <w:pStyle w:val="Heading3"/>
      </w:pPr>
      <w:r>
        <w:t>다. 참여·신뢰 — 평점·후기·버전</w:t>
      </w:r>
    </w:p>
    <w:p>
      <w:pPr>
        <w:pStyle w:val="IdBadge"/>
        <w:shd w:val="clear" w:fill="EEF2F7"/>
      </w:pPr>
      <w:r>
        <w:t>[대응 요구사항: SFR-006 · SFR-007]</w:t>
      </w:r>
    </w:p>
    <w:p>
      <w:pPr/>
      <w:r>
        <w:t>요구 분석 — 현장에서 검증된 자료가 위로 올라오는 구조가 '자료의 양'이 아니라 '활용도'로 아카이브를 성장시킨다. 개정 이력은 생성형 AI 변화 대응의 핵심 장치다.</w:t>
      </w:r>
    </w:p>
    <w:p>
      <w:pPr/>
      <w:r>
        <w:t>· 즐겨찾기·5단계 평점·후기와 신고·숨김 처리를 제공한다(SFR-006).</w:t>
      </w:r>
    </w:p>
    <w:p>
      <w:pPr/>
      <w:r>
        <w:t>· 스킬별 개정 이력·이전 버전 조회·변경 사유를 관리하고, 개정 시 즐겨찾기 이용자에게 알림을 보낸다(SFR-007).</w:t>
      </w:r>
    </w:p>
    <w:p>
      <w:pPr/>
      <w:r>
        <w:t>· 후기 신고는 관리자 처리 대기 목록에 올라 숨김 여부를 결정한다.</w:t>
      </w:r>
    </w:p>
    <w:p>
      <w:pPr>
        <w:pStyle w:val="Note"/>
      </w:pPr>
      <w:r>
        <w:t>적용 기술: 버전 스냅숏 저장 + 알림 큐</w:t>
      </w:r>
    </w:p>
    <w:p>
      <w:pPr>
        <w:jc w:val="center"/>
      </w:pPr>
      <w:r>
        <w:drawing>
          <wp:inline xmlns:a="http://schemas.openxmlformats.org/drawingml/2006/main" xmlns:pic="http://schemas.openxmlformats.org/drawingml/2006/picture">
            <wp:extent cx="4680000" cy="3740843"/>
            <wp:docPr id="8" name="Picture 8"/>
            <wp:cNvGraphicFramePr>
              <a:graphicFrameLocks noChangeAspect="1"/>
            </wp:cNvGraphicFramePr>
            <a:graphic>
              <a:graphicData uri="http://schemas.openxmlformats.org/drawingml/2006/picture">
                <pic:pic>
                  <pic:nvPicPr>
                    <pic:cNvPr id="0" name="b_detail.png"/>
                    <pic:cNvPicPr/>
                  </pic:nvPicPr>
                  <pic:blipFill>
                    <a:blip r:embed="rId17"/>
                    <a:stretch>
                      <a:fillRect/>
                    </a:stretch>
                  </pic:blipFill>
                  <pic:spPr>
                    <a:xfrm>
                      <a:off x="0" y="0"/>
                      <a:ext cx="4680000" cy="3740843"/>
                    </a:xfrm>
                    <a:prstGeom prst="rect"/>
                  </pic:spPr>
                </pic:pic>
              </a:graphicData>
            </a:graphic>
          </wp:inline>
        </w:drawing>
      </w:r>
    </w:p>
    <w:p>
      <w:pPr>
        <w:pStyle w:val="Caption2"/>
        <w:jc w:val="center"/>
      </w:pPr>
      <w:r>
        <w:t>[그림 7] 평점·후기·개정 이력이 스킬의 신뢰도를 화면에서 증명한다 (SFR-006 · SFR-007)</w:t>
      </w:r>
    </w:p>
    <w:p>
      <w:pPr>
        <w:pStyle w:val="Heading3"/>
      </w:pPr>
      <w:r>
        <w:t>라. 컬렉션·내려받기</w:t>
      </w:r>
    </w:p>
    <w:p>
      <w:pPr>
        <w:pStyle w:val="IdBadge"/>
        <w:shd w:val="clear" w:fill="EEF2F7"/>
      </w:pPr>
      <w:r>
        <w:t>[대응 요구사항: SFR-008 · SFR-009]</w:t>
      </w:r>
    </w:p>
    <w:p>
      <w:pPr/>
      <w:r>
        <w:t>요구 분석 — '학기말 평가 준비'처럼 시기별 필요를 묶은 큐레이션이 탐색 비용을 더 줄인다.</w:t>
      </w:r>
    </w:p>
    <w:p>
      <w:pPr/>
      <w:r>
        <w:t>· 관리자가 구성하는 주제별 컬렉션을 제공한다(SFR-008).</w:t>
      </w:r>
    </w:p>
    <w:p>
      <w:pPr/>
      <w:r>
        <w:t>· 파일 다운로드·본문 복사와 이용 집계를 제공한다(SFR-009).</w:t>
      </w:r>
    </w:p>
    <w:p>
      <w:pPr>
        <w:pStyle w:val="Note"/>
      </w:pPr>
      <w:r>
        <w:t>적용 기술: 컬렉션 편성 화면 + 집계 파이프라인</w:t>
      </w:r>
    </w:p>
    <w:p>
      <w:pPr>
        <w:pStyle w:val="Heading3"/>
      </w:pPr>
      <w:r>
        <w:t>마. 관리자 — 콘텐츠·회원·리포트</w:t>
      </w:r>
    </w:p>
    <w:p>
      <w:pPr>
        <w:pStyle w:val="IdBadge"/>
        <w:shd w:val="clear" w:fill="EEF2F7"/>
      </w:pPr>
      <w:r>
        <w:t>[대응 요구사항: SFR-010 · SFR-011 · SFR-012]</w:t>
      </w:r>
    </w:p>
    <w:p>
      <w:pPr/>
      <w:r>
        <w:t>요구 분석 — 운영 담당자의 화면이 곧 서비스의 수명이다. 일괄 등록과 엑셀 리포트가 운영 부담을 줄인다.</w:t>
      </w:r>
    </w:p>
    <w:p>
      <w:pPr/>
      <w:r>
        <w:t>· 스킬 등록·수정·삭제·게시 전환과 CSV·압축파일 일괄 등록을 제공한다(SFR-010).</w:t>
      </w:r>
    </w:p>
    <w:p>
      <w:pPr/>
      <w:r>
        <w:t>· 회원 조회·상태 관리와 후기 관리를 제공한다(SFR-011).</w:t>
      </w:r>
    </w:p>
    <w:p>
      <w:pPr/>
      <w:r>
        <w:t>· 조회·다운로드·평점 통계 리포트를 제공하고 엑셀로 내려받는다(SFR-012).</w:t>
      </w:r>
    </w:p>
    <w:p>
      <w:pPr/>
      <w:r>
        <w:t>· 공지사항 등록·게시와 이용안내 정적 페이지를 제공하고, 개인정보·저작권 유의 기준을 상시 게시한다(SFR-013).</w:t>
      </w:r>
    </w:p>
    <w:p>
      <w:pPr>
        <w:pStyle w:val="Note"/>
      </w:pPr>
      <w:r>
        <w:t>적용 기술: 일괄 등록 검증 파이프라인 + 통계 집계</w:t>
      </w:r>
    </w:p>
    <w:p>
      <w:pPr>
        <w:jc w:val="center"/>
      </w:pPr>
      <w:r>
        <w:drawing>
          <wp:inline xmlns:a="http://schemas.openxmlformats.org/drawingml/2006/main" xmlns:pic="http://schemas.openxmlformats.org/drawingml/2006/picture">
            <wp:extent cx="5400000" cy="4318945"/>
            <wp:docPr id="9" name="Picture 9"/>
            <wp:cNvGraphicFramePr>
              <a:graphicFrameLocks noChangeAspect="1"/>
            </wp:cNvGraphicFramePr>
            <a:graphic>
              <a:graphicData uri="http://schemas.openxmlformats.org/drawingml/2006/picture">
                <pic:pic>
                  <pic:nvPicPr>
                    <pic:cNvPr id="0" name="b_admin.png"/>
                    <pic:cNvPicPr/>
                  </pic:nvPicPr>
                  <pic:blipFill>
                    <a:blip r:embed="rId18"/>
                    <a:stretch>
                      <a:fillRect/>
                    </a:stretch>
                  </pic:blipFill>
                  <pic:spPr>
                    <a:xfrm>
                      <a:off x="0" y="0"/>
                      <a:ext cx="5400000" cy="4318945"/>
                    </a:xfrm>
                    <a:prstGeom prst="rect"/>
                  </pic:spPr>
                </pic:pic>
              </a:graphicData>
            </a:graphic>
          </wp:inline>
        </w:drawing>
      </w:r>
    </w:p>
    <w:p>
      <w:pPr>
        <w:pStyle w:val="Caption2"/>
        <w:jc w:val="center"/>
      </w:pPr>
      <w:r>
        <w:t>[그림 8] 회원·평점·다운로드 현황을 대시보드로 관리하고 엑셀로 내려받는다 (SFR-011 · SFR-012)</w:t>
      </w:r>
    </w:p>
    <w:p>
      <w:pPr>
        <w:pStyle w:val="Heading2"/>
      </w:pPr>
      <w:r>
        <w:t>Ⅲ-3. 시스템 구성·운영환경</w:t>
      </w:r>
    </w:p>
    <w:p>
      <w:pPr>
        <w:pStyle w:val="IdBadge"/>
        <w:shd w:val="clear" w:fill="EEF2F7"/>
      </w:pPr>
      <w:r>
        <w:t>[대응 요구사항: SIR-001 · SIR-002]</w:t>
      </w:r>
    </w:p>
    <w:p>
      <w:pPr/>
      <w:r>
        <w:t>공용 클라우드에 배포하고 도메인 연결과 SSL 인증서를 적용합니다. 준공 후 12개월분 클라우드 이용료·도메인 비용을 사업비에 포함했습니다(Ⅶ장 산출내역). 백업은 일 1회 자동 수행하고 30일분을 보관하며, 복구 절차를 관리자 매뉴얼에 수록하고 인수인계 교육에서 실습합니다.</w:t>
      </w:r>
    </w:p>
    <w:p>
      <w:pPr>
        <w:pStyle w:val="Note"/>
      </w:pPr>
      <w:r>
        <w:t>클라우드는 클라우드컴퓨팅서비스 보안인증(CSAP)을 보유한 사업자의 국내 리전으로 한정합니다. 발주기관이 내부 인프라 사용을 지정하면 착수 단계에서 구성도를 갱신해 보안성 검토 정합성을 유지합니다.</w:t>
      </w:r>
    </w:p>
    <w:p>
      <w:pPr/>
      <w:r>
        <w:t>기술 스택: Node.js 기반 웹 애플리케이션 + PostgreSQL + Nginx(공용 클라우드), 인증은 표준 프로토콜(OIDC 호환)로 구성해 발주기관 지정 인증수단·PENZ 연동에 대비한다. 전자정부 표준프레임워크는 미채택하되 사유를 명시하고(Ⅲ-5 판정표) 표준 배포 문서로 운영 호환성을 확보한다.</w:t>
      </w:r>
    </w:p>
    <w:p>
      <w:pPr>
        <w:pStyle w:val="Heading2"/>
      </w:pPr>
      <w:r>
        <w:t>Ⅲ-4. 데이터 설계</w:t>
      </w:r>
    </w:p>
    <w:p>
      <w:pPr>
        <w:pStyle w:val="IdBadge"/>
        <w:shd w:val="clear" w:fill="EEF2F7"/>
      </w:pPr>
      <w:r>
        <w:t>[대응 요구사항: DAR-001]</w:t>
      </w:r>
    </w:p>
    <w:tbl>
      <w:tblPr>
        <w:tblStyle w:val="TableGrid"/>
        <w:tblW w:type="auto" w:w="0"/>
        <w:jc w:val="center"/>
        <w:tblLook w:firstColumn="1" w:firstRow="1" w:lastColumn="0" w:lastRow="0" w:noHBand="0" w:noVBand="1" w:val="04A0"/>
      </w:tblPr>
      <w:tblGrid>
        <w:gridCol w:w="4819"/>
        <w:gridCol w:w="4819"/>
      </w:tblGrid>
      <w:tr>
        <w:tc>
          <w:tcPr>
            <w:tcW w:type="dxa" w:w="1928"/>
            <w:shd w:val="clear" w:fill="1F3A5F"/>
          </w:tcPr>
          <w:p>
            <w:r/>
            <w:r>
              <w:rPr>
                <w:rFonts w:ascii="맑은 고딕" w:hAnsi="맑은 고딕" w:eastAsia="맑은 고딕"/>
                <w:b/>
                <w:color w:val="FFFFFF"/>
                <w:sz w:val="19"/>
              </w:rPr>
              <w:t>분류 축</w:t>
            </w:r>
          </w:p>
        </w:tc>
        <w:tc>
          <w:tcPr>
            <w:tcW w:type="dxa" w:w="7710"/>
            <w:shd w:val="clear" w:fill="1F3A5F"/>
          </w:tcPr>
          <w:p>
            <w:r/>
            <w:r>
              <w:rPr>
                <w:rFonts w:ascii="맑은 고딕" w:hAnsi="맑은 고딕" w:eastAsia="맑은 고딕"/>
                <w:b/>
                <w:color w:val="FFFFFF"/>
                <w:sz w:val="19"/>
              </w:rPr>
              <w:t>값</w:t>
            </w:r>
          </w:p>
        </w:tc>
      </w:tr>
      <w:tr>
        <w:tc>
          <w:tcPr>
            <w:tcW w:type="dxa" w:w="1928"/>
          </w:tcPr>
          <w:p>
            <w:r/>
            <w:r>
              <w:rPr>
                <w:rFonts w:ascii="맑은 고딕" w:hAnsi="맑은 고딕" w:eastAsia="맑은 고딕"/>
                <w:sz w:val="19"/>
              </w:rPr>
              <w:t>학교급</w:t>
            </w:r>
          </w:p>
        </w:tc>
        <w:tc>
          <w:tcPr>
            <w:tcW w:type="dxa" w:w="7710"/>
          </w:tcPr>
          <w:p>
            <w:r/>
            <w:r>
              <w:rPr>
                <w:rFonts w:ascii="맑은 고딕" w:hAnsi="맑은 고딕" w:eastAsia="맑은 고딕"/>
                <w:sz w:val="19"/>
              </w:rPr>
              <w:t>유 · 초 · 중 · 고 · 특수</w:t>
            </w:r>
          </w:p>
        </w:tc>
      </w:tr>
      <w:tr>
        <w:tc>
          <w:tcPr>
            <w:tcW w:type="dxa" w:w="1928"/>
          </w:tcPr>
          <w:p>
            <w:r/>
            <w:r>
              <w:rPr>
                <w:rFonts w:ascii="맑은 고딕" w:hAnsi="맑은 고딕" w:eastAsia="맑은 고딕"/>
                <w:sz w:val="19"/>
              </w:rPr>
              <w:t>교과</w:t>
            </w:r>
          </w:p>
        </w:tc>
        <w:tc>
          <w:tcPr>
            <w:tcW w:type="dxa" w:w="7710"/>
          </w:tcPr>
          <w:p>
            <w:r/>
            <w:r>
              <w:rPr>
                <w:rFonts w:ascii="맑은 고딕" w:hAnsi="맑은 고딕" w:eastAsia="맑은 고딕"/>
                <w:sz w:val="19"/>
              </w:rPr>
              <w:t>국어 · 수학 · 과학 · 영어 등 교과군</w:t>
            </w:r>
          </w:p>
        </w:tc>
      </w:tr>
      <w:tr>
        <w:tc>
          <w:tcPr>
            <w:tcW w:type="dxa" w:w="1928"/>
          </w:tcPr>
          <w:p>
            <w:r/>
            <w:r>
              <w:rPr>
                <w:rFonts w:ascii="맑은 고딕" w:hAnsi="맑은 고딕" w:eastAsia="맑은 고딕"/>
                <w:sz w:val="19"/>
              </w:rPr>
              <w:t>업무유형</w:t>
            </w:r>
          </w:p>
        </w:tc>
        <w:tc>
          <w:tcPr>
            <w:tcW w:type="dxa" w:w="7710"/>
          </w:tcPr>
          <w:p>
            <w:r/>
            <w:r>
              <w:rPr>
                <w:rFonts w:ascii="맑은 고딕" w:hAnsi="맑은 고딕" w:eastAsia="맑은 고딕"/>
                <w:sz w:val="19"/>
              </w:rPr>
              <w:t>수업 · 평가 · 학급경영 · 행정</w:t>
            </w:r>
          </w:p>
        </w:tc>
      </w:tr>
      <w:tr>
        <w:tc>
          <w:tcPr>
            <w:tcW w:type="dxa" w:w="1928"/>
          </w:tcPr>
          <w:p>
            <w:r/>
            <w:r>
              <w:rPr>
                <w:rFonts w:ascii="맑은 고딕" w:hAnsi="맑은 고딕" w:eastAsia="맑은 고딕"/>
                <w:sz w:val="19"/>
              </w:rPr>
              <w:t>활용 도구</w:t>
            </w:r>
          </w:p>
        </w:tc>
        <w:tc>
          <w:tcPr>
            <w:tcW w:type="dxa" w:w="7710"/>
          </w:tcPr>
          <w:p>
            <w:r/>
            <w:r>
              <w:rPr>
                <w:rFonts w:ascii="맑은 고딕" w:hAnsi="맑은 고딕" w:eastAsia="맑은 고딕"/>
                <w:sz w:val="19"/>
              </w:rPr>
              <w:t>주요 상용 생성형 AI 서비스</w:t>
            </w:r>
          </w:p>
        </w:tc>
      </w:tr>
    </w:tbl>
    <w:p>
      <w:pPr>
        <w:pStyle w:val="Note"/>
      </w:pPr>
    </w:p>
    <w:p>
      <w:pPr/>
      <w:r>
        <w:t>4축 분류·태그·컬렉션을 함께 부여합니다. 발주기관이 기존 보유 자료의 이관을 요청하면 표준 서식으로 변환해 등록합니다(DAR-001, 선택 요구 수용).</w:t>
      </w:r>
    </w:p>
    <w:p>
      <w:pPr/>
      <w:r>
        <w:t>스킬 본문은 표준 서식(활용 목적 · 대상 · 사용 절차 · 입력 예시 · 출력 예시 · 유의사항 · 개정 이력)을 데이터 구조로 강제해, 화면 표준화와 품질 검수가 같은 서식을 공유합니다.</w:t>
      </w:r>
    </w:p>
    <w:p>
      <w:pPr>
        <w:pStyle w:val="Heading2"/>
      </w:pPr>
      <w:r>
        <w:t>Ⅲ-5. 보안 이행방안</w:t>
      </w:r>
    </w:p>
    <w:p>
      <w:pPr>
        <w:pStyle w:val="IdBadge"/>
        <w:shd w:val="clear" w:fill="EEF2F7"/>
      </w:pPr>
      <w:r>
        <w:t>[대응 요구사항: SER-001 · SER-002]</w:t>
      </w:r>
    </w:p>
    <w:p>
      <w:pPr/>
      <w:r>
        <w:t>본 사업 규모에 적용되는 보안·품질 제도를 근거 조문과 함께 판정했습니다. 제도 이름의 나열이 아니라 적용/비적용의 판정 근거를 제시합니다.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제도</w:t>
            </w:r>
          </w:p>
        </w:tc>
        <w:tc>
          <w:tcPr>
            <w:tcW w:type="dxa" w:w="1807"/>
            <w:shd w:val="clear" w:fill="1F3A5F"/>
          </w:tcPr>
          <w:p>
            <w:r/>
            <w:r>
              <w:rPr>
                <w:rFonts w:ascii="맑은 고딕" w:hAnsi="맑은 고딕" w:eastAsia="맑은 고딕"/>
                <w:b/>
                <w:color w:val="FFFFFF"/>
                <w:sz w:val="19"/>
              </w:rPr>
              <w:t>판정</w:t>
            </w:r>
          </w:p>
        </w:tc>
        <w:tc>
          <w:tcPr>
            <w:tcW w:type="dxa" w:w="2891"/>
            <w:shd w:val="clear" w:fill="1F3A5F"/>
          </w:tcPr>
          <w:p>
            <w:r/>
            <w:r>
              <w:rPr>
                <w:rFonts w:ascii="맑은 고딕" w:hAnsi="맑은 고딕" w:eastAsia="맑은 고딕"/>
                <w:b/>
                <w:color w:val="FFFFFF"/>
                <w:sz w:val="19"/>
              </w:rPr>
              <w:t>근거</w:t>
            </w:r>
          </w:p>
        </w:tc>
        <w:tc>
          <w:tcPr>
            <w:tcW w:type="dxa" w:w="2891"/>
            <w:shd w:val="clear" w:fill="1F3A5F"/>
          </w:tcPr>
          <w:p>
            <w:r/>
            <w:r>
              <w:rPr>
                <w:rFonts w:ascii="맑은 고딕" w:hAnsi="맑은 고딕" w:eastAsia="맑은 고딕"/>
                <w:b/>
                <w:color w:val="FFFFFF"/>
                <w:sz w:val="19"/>
              </w:rPr>
              <w:t>본 제안의 대응</w:t>
            </w:r>
          </w:p>
        </w:tc>
      </w:tr>
      <w:tr>
        <w:tc>
          <w:tcPr>
            <w:tcW w:type="dxa" w:w="2048"/>
          </w:tcPr>
          <w:p>
            <w:r/>
            <w:r>
              <w:rPr>
                <w:rFonts w:ascii="맑은 고딕" w:hAnsi="맑은 고딕" w:eastAsia="맑은 고딕"/>
                <w:sz w:val="19"/>
              </w:rPr>
              <w:t>정보시스템 감리</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전자정부법 제57조·시행령 제71조 (사업비 5억원 미만)</w:t>
            </w:r>
          </w:p>
        </w:tc>
        <w:tc>
          <w:tcPr>
            <w:tcW w:type="dxa" w:w="2891"/>
          </w:tcPr>
          <w:p>
            <w:r/>
            <w:r>
              <w:rPr>
                <w:rFonts w:ascii="맑은 고딕" w:hAnsi="맑은 고딕" w:eastAsia="맑은 고딕"/>
                <w:sz w:val="19"/>
              </w:rPr>
              <w:t>대체 품질활동을 Ⅳ장에 명시</w:t>
            </w:r>
          </w:p>
        </w:tc>
      </w:tr>
      <w:tr>
        <w:tc>
          <w:tcPr>
            <w:tcW w:type="dxa" w:w="2048"/>
          </w:tcPr>
          <w:p>
            <w:r/>
            <w:r>
              <w:rPr>
                <w:rFonts w:ascii="맑은 고딕" w:hAnsi="맑은 고딕" w:eastAsia="맑은 고딕"/>
                <w:sz w:val="19"/>
              </w:rPr>
              <w:t>SW 개발보안(시큐어코딩)</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행안부 「정보시스템 구축·운영 지침」 제50~53조 (금액 무관)</w:t>
            </w:r>
          </w:p>
        </w:tc>
        <w:tc>
          <w:tcPr>
            <w:tcW w:type="dxa" w:w="2891"/>
          </w:tcPr>
          <w:p>
            <w:r/>
            <w:r>
              <w:rPr>
                <w:rFonts w:ascii="맑은 고딕" w:hAnsi="맑은 고딕" w:eastAsia="맑은 고딕"/>
                <w:sz w:val="19"/>
              </w:rPr>
              <w:t>보안약점 진단 → 조치 → 잔여 약점 보고서 제출</w:t>
            </w:r>
          </w:p>
        </w:tc>
      </w:tr>
      <w:tr>
        <w:tc>
          <w:tcPr>
            <w:tcW w:type="dxa" w:w="2048"/>
          </w:tcPr>
          <w:p>
            <w:r/>
            <w:r>
              <w:rPr>
                <w:rFonts w:ascii="맑은 고딕" w:hAnsi="맑은 고딕" w:eastAsia="맑은 고딕"/>
                <w:sz w:val="19"/>
              </w:rPr>
              <w:t>보안성 검토</w:t>
            </w:r>
          </w:p>
        </w:tc>
        <w:tc>
          <w:tcPr>
            <w:tcW w:type="dxa" w:w="1807"/>
          </w:tcPr>
          <w:p>
            <w:r/>
            <w:r>
              <w:rPr>
                <w:rFonts w:ascii="맑은 고딕" w:hAnsi="맑은 고딕" w:eastAsia="맑은 고딕"/>
                <w:sz w:val="19"/>
              </w:rPr>
              <w:t>발주기관 소관 — 협조</w:t>
            </w:r>
          </w:p>
        </w:tc>
        <w:tc>
          <w:tcPr>
            <w:tcW w:type="dxa" w:w="2891"/>
          </w:tcPr>
          <w:p>
            <w:r/>
            <w:r>
              <w:rPr>
                <w:rFonts w:ascii="맑은 고딕" w:hAnsi="맑은 고딕" w:eastAsia="맑은 고딕"/>
                <w:sz w:val="19"/>
              </w:rPr>
              <w:t>교육부 정보보안 기본지침</w:t>
            </w:r>
          </w:p>
        </w:tc>
        <w:tc>
          <w:tcPr>
            <w:tcW w:type="dxa" w:w="2891"/>
          </w:tcPr>
          <w:p>
            <w:r/>
            <w:r>
              <w:rPr>
                <w:rFonts w:ascii="맑은 고딕" w:hAnsi="맑은 고딕" w:eastAsia="맑은 고딕"/>
                <w:sz w:val="19"/>
              </w:rPr>
              <w:t>착수 시 정보통신망 구성도·자체 보안대책을 최신화해 제출</w:t>
            </w:r>
          </w:p>
        </w:tc>
      </w:tr>
      <w:tr>
        <w:tc>
          <w:tcPr>
            <w:tcW w:type="dxa" w:w="2048"/>
          </w:tcPr>
          <w:p>
            <w:r/>
            <w:r>
              <w:rPr>
                <w:rFonts w:ascii="맑은 고딕" w:hAnsi="맑은 고딕" w:eastAsia="맑은 고딕"/>
                <w:sz w:val="19"/>
              </w:rPr>
              <w:t>개인정보 영향평가</w:t>
            </w:r>
          </w:p>
        </w:tc>
        <w:tc>
          <w:tcPr>
            <w:tcW w:type="dxa" w:w="1807"/>
          </w:tcPr>
          <w:p>
            <w:r/>
            <w:r>
              <w:rPr>
                <w:rFonts w:ascii="맑은 고딕" w:hAnsi="맑은 고딕" w:eastAsia="맑은 고딕"/>
                <w:sz w:val="19"/>
              </w:rPr>
              <w:t>비적용</w:t>
            </w:r>
          </w:p>
        </w:tc>
        <w:tc>
          <w:tcPr>
            <w:tcW w:type="dxa" w:w="2891"/>
          </w:tcPr>
          <w:p>
            <w:r/>
            <w:r>
              <w:rPr>
                <w:rFonts w:ascii="맑은 고딕" w:hAnsi="맑은 고딕" w:eastAsia="맑은 고딕"/>
                <w:sz w:val="19"/>
              </w:rPr>
              <w:t>개인정보 보호법 시행령 제35조 (정보주체 규모 기준 미달)</w:t>
            </w:r>
          </w:p>
        </w:tc>
        <w:tc>
          <w:tcPr>
            <w:tcW w:type="dxa" w:w="2891"/>
          </w:tcPr>
          <w:p>
            <w:r/>
            <w:r>
              <w:rPr>
                <w:rFonts w:ascii="맑은 고딕" w:hAnsi="맑은 고딕" w:eastAsia="맑은 고딕"/>
                <w:sz w:val="19"/>
              </w:rPr>
              <w:t>교원 계정 최대 25,579명 — 기준(5만/50만/100만명) 전부 미달. 학생 계정은 수집하지 않음</w:t>
            </w:r>
          </w:p>
        </w:tc>
      </w:tr>
      <w:tr>
        <w:tc>
          <w:tcPr>
            <w:tcW w:type="dxa" w:w="2048"/>
          </w:tcPr>
          <w:p>
            <w:r/>
            <w:r>
              <w:rPr>
                <w:rFonts w:ascii="맑은 고딕" w:hAnsi="맑은 고딕" w:eastAsia="맑은 고딕"/>
                <w:sz w:val="19"/>
              </w:rPr>
              <w:t>웹 접근성</w:t>
            </w:r>
          </w:p>
        </w:tc>
        <w:tc>
          <w:tcPr>
            <w:tcW w:type="dxa" w:w="1807"/>
          </w:tcPr>
          <w:p>
            <w:r/>
            <w:r>
              <w:rPr>
                <w:rFonts w:ascii="맑은 고딕" w:hAnsi="맑은 고딕" w:eastAsia="맑은 고딕"/>
                <w:sz w:val="19"/>
              </w:rPr>
              <w:t>준수 의무 (인증마크는 임의)</w:t>
            </w:r>
          </w:p>
        </w:tc>
        <w:tc>
          <w:tcPr>
            <w:tcW w:type="dxa" w:w="2891"/>
          </w:tcPr>
          <w:p>
            <w:r/>
            <w:r>
              <w:rPr>
                <w:rFonts w:ascii="맑은 고딕" w:hAnsi="맑은 고딕" w:eastAsia="맑은 고딕"/>
                <w:sz w:val="19"/>
              </w:rPr>
              <w:t>장애인차별금지법 제21조, KWCAG 2.2</w:t>
            </w:r>
          </w:p>
        </w:tc>
        <w:tc>
          <w:tcPr>
            <w:tcW w:type="dxa" w:w="2891"/>
          </w:tcPr>
          <w:p>
            <w:r/>
            <w:r>
              <w:rPr>
                <w:rFonts w:ascii="맑은 고딕" w:hAnsi="맑은 고딕" w:eastAsia="맑은 고딕"/>
                <w:sz w:val="19"/>
              </w:rPr>
              <w:t>33개 검사항목 자가진단 결과표 제출(Ⅳ장)</w:t>
            </w:r>
          </w:p>
        </w:tc>
      </w:tr>
      <w:tr>
        <w:tc>
          <w:tcPr>
            <w:tcW w:type="dxa" w:w="2048"/>
          </w:tcPr>
          <w:p>
            <w:r/>
            <w:r>
              <w:rPr>
                <w:rFonts w:ascii="맑은 고딕" w:hAnsi="맑은 고딕" w:eastAsia="맑은 고딕"/>
                <w:sz w:val="19"/>
              </w:rPr>
              <w:t>개인정보 수탁자 의무</w:t>
            </w:r>
          </w:p>
        </w:tc>
        <w:tc>
          <w:tcPr>
            <w:tcW w:type="dxa" w:w="1807"/>
          </w:tcPr>
          <w:p>
            <w:r/>
            <w:r>
              <w:rPr>
                <w:rFonts w:ascii="맑은 고딕" w:hAnsi="맑은 고딕" w:eastAsia="맑은 고딕"/>
                <w:sz w:val="19"/>
              </w:rPr>
              <w:t>적용</w:t>
            </w:r>
          </w:p>
        </w:tc>
        <w:tc>
          <w:tcPr>
            <w:tcW w:type="dxa" w:w="2891"/>
          </w:tcPr>
          <w:p>
            <w:r/>
            <w:r>
              <w:rPr>
                <w:rFonts w:ascii="맑은 고딕" w:hAnsi="맑은 고딕" w:eastAsia="맑은 고딕"/>
                <w:sz w:val="19"/>
              </w:rPr>
              <w:t>개인정보 보호법 제26조</w:t>
            </w:r>
          </w:p>
        </w:tc>
        <w:tc>
          <w:tcPr>
            <w:tcW w:type="dxa" w:w="2891"/>
          </w:tcPr>
          <w:p>
            <w:r/>
            <w:r>
              <w:rPr>
                <w:rFonts w:ascii="맑은 고딕" w:hAnsi="맑은 고딕" w:eastAsia="맑은 고딕"/>
                <w:sz w:val="19"/>
              </w:rPr>
              <w:t>위·수탁 문서 체결, 참여인력 연 1회 교육, 발주기관 점검 수용</w:t>
            </w:r>
          </w:p>
        </w:tc>
      </w:tr>
      <w:tr>
        <w:tc>
          <w:tcPr>
            <w:tcW w:type="dxa" w:w="2048"/>
          </w:tcPr>
          <w:p>
            <w:r/>
            <w:r>
              <w:rPr>
                <w:rFonts w:ascii="맑은 고딕" w:hAnsi="맑은 고딕" w:eastAsia="맑은 고딕"/>
                <w:sz w:val="19"/>
              </w:rPr>
              <w:t>전자정부 표준프레임워크</w:t>
            </w:r>
          </w:p>
        </w:tc>
        <w:tc>
          <w:tcPr>
            <w:tcW w:type="dxa" w:w="1807"/>
          </w:tcPr>
          <w:p>
            <w:r/>
            <w:r>
              <w:rPr>
                <w:rFonts w:ascii="맑은 고딕" w:hAnsi="맑은 고딕" w:eastAsia="맑은 고딕"/>
                <w:sz w:val="19"/>
              </w:rPr>
              <w:t>미채택 — 사유 명시</w:t>
            </w:r>
          </w:p>
        </w:tc>
        <w:tc>
          <w:tcPr>
            <w:tcW w:type="dxa" w:w="2891"/>
          </w:tcPr>
          <w:p>
            <w:r/>
            <w:r>
              <w:rPr>
                <w:rFonts w:ascii="맑은 고딕" w:hAnsi="맑은 고딕" w:eastAsia="맑은 고딕"/>
                <w:sz w:val="19"/>
              </w:rPr>
              <w:t>「정보시스템 구축·운영 지침」의 우선 적용 고려 대상</w:t>
            </w:r>
          </w:p>
        </w:tc>
        <w:tc>
          <w:tcPr>
            <w:tcW w:type="dxa" w:w="2891"/>
          </w:tcPr>
          <w:p>
            <w:r/>
            <w:r>
              <w:rPr>
                <w:rFonts w:ascii="맑은 고딕" w:hAnsi="맑은 고딕" w:eastAsia="맑은 고딕"/>
                <w:sz w:val="19"/>
              </w:rPr>
              <w:t>본문 Ⅲ-3의 경량 스택 채택 사유와 표준 배포 문서로 운영 호환성 확보</w:t>
            </w:r>
          </w:p>
        </w:tc>
      </w:tr>
    </w:tbl>
    <w:p>
      <w:pPr>
        <w:pStyle w:val="Note"/>
      </w:pPr>
    </w:p>
    <w:p>
      <w:pPr/>
      <w:r>
        <w:t>웹 취약점 점검(SER-001)은 개통 전 OWASP 상위 위험을 포함한 점검 → 조치 → 재점검 절차로 수행하고 결과보고서를 검수 산출물로 제출합니다. 시험 데이터는 가명 처리본만 사용하며, 종료 시 관련 자료를 반납·파기하고 결과를 통보합니다(과업지시서 ⅩⅠ장).</w:t>
      </w:r>
    </w:p>
    <w:p>
      <w:pPr>
        <w:pStyle w:val="Heading2"/>
      </w:pPr>
      <w:r>
        <w:t>Ⅲ-6. 콘텐츠 제작 방안 — 스킬 25종</w:t>
      </w:r>
    </w:p>
    <w:p>
      <w:pPr>
        <w:jc w:val="center"/>
      </w:pPr>
      <w:r>
        <w:drawing>
          <wp:inline xmlns:a="http://schemas.openxmlformats.org/drawingml/2006/main" xmlns:pic="http://schemas.openxmlformats.org/drawingml/2006/picture">
            <wp:extent cx="5760000" cy="3168000"/>
            <wp:docPr id="10" name="Picture 10"/>
            <wp:cNvGraphicFramePr>
              <a:graphicFrameLocks noChangeAspect="1"/>
            </wp:cNvGraphicFramePr>
            <a:graphic>
              <a:graphicData uri="http://schemas.openxmlformats.org/drawingml/2006/picture">
                <pic:pic>
                  <pic:nvPicPr>
                    <pic:cNvPr id="0" name="process.png"/>
                    <pic:cNvPicPr/>
                  </pic:nvPicPr>
                  <pic:blipFill>
                    <a:blip r:embed="rId19"/>
                    <a:stretch>
                      <a:fillRect/>
                    </a:stretch>
                  </pic:blipFill>
                  <pic:spPr>
                    <a:xfrm>
                      <a:off x="0" y="0"/>
                      <a:ext cx="5760000" cy="3168000"/>
                    </a:xfrm>
                    <a:prstGeom prst="rect"/>
                  </pic:spPr>
                </pic:pic>
              </a:graphicData>
            </a:graphic>
          </wp:inline>
        </w:drawing>
      </w:r>
    </w:p>
    <w:p>
      <w:pPr>
        <w:pStyle w:val="Caption2"/>
        <w:jc w:val="center"/>
      </w:pPr>
      <w:r>
        <w:t>[그림 9] 모든 스킬은 상용 생성형 AI 동작 검증과 현직 교원 검수를 거쳐야 게시된다 (SFR-001)</w:t>
      </w:r>
    </w:p>
    <w:p>
      <w:pPr/>
      <w:r>
        <w:t>영역 배분(예시): 수업 설계 7종, 평가·피드백 6종, 학급 경영 4종, 교육행정 문서 4종, 특수·상담 등 4종 — 최종 배분은 교원 요구조사(설문 50명·인터뷰 6회) 결과를 반영해 발주기관과 협의 확정합니다. 각 스킬은 상용 생성형 AI 2종 이상 동작 확인과 현직 교원 3인 이상 검수를 거치며, 개정 이력 항목을 포함해 등록합니다. 학생 개인정보는 익명화·대체 입력 방식으로 안내합니다.</w:t>
      </w:r>
    </w:p>
    <w:p>
      <w:r>
        <w:br w:type="page"/>
      </w:r>
    </w:p>
    <w:p>
      <w:pPr>
        <w:pStyle w:val="Heading1"/>
      </w:pPr>
      <w:r>
        <w:t>Ⅳ. 성능 및 품질</w:t>
      </w:r>
    </w:p>
    <w:p>
      <w:pPr>
        <w:pStyle w:val="IdBadge"/>
        <w:shd w:val="clear" w:fill="EEF2F7"/>
      </w:pPr>
      <w:r>
        <w:t>[대응 요구사항: QUR-001 · QUR-002]</w:t>
      </w:r>
    </w:p>
    <w:p>
      <w:pPr/>
      <w:r>
        <w:t>본 사업은 정보시스템 감리 비대상(사업비 5억원 미만)이므로, 품질 확보 활동을 다음과 같이 대체·명시합니다: 단계별 산출물 검토회의(설계·개발 각 1회 이상, PM 주관), 기능별 테스트 시나리오 작성·수행(개발자), 웹 접근성 자가진단(디자이너), 개통 전 웹 취약점 점검(PM·개발자). 각 활동의 결과는 시험결과서와 자가진단 결과표로 검수 시 제출합니다.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품질 항목</w:t>
            </w:r>
          </w:p>
        </w:tc>
        <w:tc>
          <w:tcPr>
            <w:tcW w:type="dxa" w:w="3976"/>
            <w:shd w:val="clear" w:fill="1F3A5F"/>
          </w:tcPr>
          <w:p>
            <w:r/>
            <w:r>
              <w:rPr>
                <w:rFonts w:ascii="맑은 고딕" w:hAnsi="맑은 고딕" w:eastAsia="맑은 고딕"/>
                <w:b/>
                <w:color w:val="FFFFFF"/>
                <w:sz w:val="19"/>
              </w:rPr>
              <w:t>목표</w:t>
            </w:r>
          </w:p>
        </w:tc>
        <w:tc>
          <w:tcPr>
            <w:tcW w:type="dxa" w:w="2771"/>
            <w:shd w:val="clear" w:fill="1F3A5F"/>
          </w:tcPr>
          <w:p>
            <w:r/>
            <w:r>
              <w:rPr>
                <w:rFonts w:ascii="맑은 고딕" w:hAnsi="맑은 고딕" w:eastAsia="맑은 고딕"/>
                <w:b/>
                <w:color w:val="FFFFFF"/>
                <w:sz w:val="19"/>
              </w:rPr>
              <w:t>검증 방법</w:t>
            </w:r>
          </w:p>
        </w:tc>
        <w:tc>
          <w:tcPr>
            <w:tcW w:type="dxa" w:w="1325"/>
            <w:shd w:val="clear" w:fill="1F3A5F"/>
          </w:tcPr>
          <w:p>
            <w:r/>
            <w:r>
              <w:rPr>
                <w:rFonts w:ascii="맑은 고딕" w:hAnsi="맑은 고딕" w:eastAsia="맑은 고딕"/>
                <w:b/>
                <w:color w:val="FFFFFF"/>
                <w:sz w:val="19"/>
              </w:rPr>
              <w:t>관련 ID</w:t>
            </w:r>
          </w:p>
        </w:tc>
      </w:tr>
      <w:tr>
        <w:tc>
          <w:tcPr>
            <w:tcW w:type="dxa" w:w="1566"/>
          </w:tcPr>
          <w:p>
            <w:r/>
            <w:r>
              <w:rPr>
                <w:rFonts w:ascii="맑은 고딕" w:hAnsi="맑은 고딕" w:eastAsia="맑은 고딕"/>
                <w:sz w:val="19"/>
              </w:rPr>
              <w:t>접근성</w:t>
            </w:r>
          </w:p>
        </w:tc>
        <w:tc>
          <w:tcPr>
            <w:tcW w:type="dxa" w:w="3976"/>
          </w:tcPr>
          <w:p>
            <w:r/>
            <w:r>
              <w:rPr>
                <w:rFonts w:ascii="맑은 고딕" w:hAnsi="맑은 고딕" w:eastAsia="맑은 고딕"/>
                <w:sz w:val="19"/>
              </w:rPr>
              <w:t>KWCAG 2.2 33개 검사항목 준수</w:t>
            </w:r>
          </w:p>
        </w:tc>
        <w:tc>
          <w:tcPr>
            <w:tcW w:type="dxa" w:w="2771"/>
          </w:tcPr>
          <w:p>
            <w:r/>
            <w:r>
              <w:rPr>
                <w:rFonts w:ascii="맑은 고딕" w:hAnsi="맑은 고딕" w:eastAsia="맑은 고딕"/>
                <w:sz w:val="19"/>
              </w:rPr>
              <w:t>자가진단 결과표 — 항목별 준수 여부 표기</w:t>
            </w:r>
          </w:p>
        </w:tc>
        <w:tc>
          <w:tcPr>
            <w:tcW w:type="dxa" w:w="1325"/>
          </w:tcPr>
          <w:p>
            <w:r/>
            <w:r>
              <w:rPr>
                <w:rFonts w:ascii="맑은 고딕" w:hAnsi="맑은 고딕" w:eastAsia="맑은 고딕"/>
                <w:sz w:val="19"/>
              </w:rPr>
              <w:t>QUR-001</w:t>
            </w:r>
          </w:p>
        </w:tc>
      </w:tr>
      <w:tr>
        <w:tc>
          <w:tcPr>
            <w:tcW w:type="dxa" w:w="1566"/>
          </w:tcPr>
          <w:p>
            <w:r/>
            <w:r>
              <w:rPr>
                <w:rFonts w:ascii="맑은 고딕" w:hAnsi="맑은 고딕" w:eastAsia="맑은 고딕"/>
                <w:sz w:val="19"/>
              </w:rPr>
              <w:t>호환성</w:t>
            </w:r>
          </w:p>
        </w:tc>
        <w:tc>
          <w:tcPr>
            <w:tcW w:type="dxa" w:w="3976"/>
          </w:tcPr>
          <w:p>
            <w:r/>
            <w:r>
              <w:rPr>
                <w:rFonts w:ascii="맑은 고딕" w:hAnsi="맑은 고딕" w:eastAsia="맑은 고딕"/>
                <w:sz w:val="19"/>
              </w:rPr>
              <w:t>Chrome · Edge · Safari 최신 버전 정상 동작</w:t>
            </w:r>
          </w:p>
        </w:tc>
        <w:tc>
          <w:tcPr>
            <w:tcW w:type="dxa" w:w="2771"/>
          </w:tcPr>
          <w:p>
            <w:r/>
            <w:r>
              <w:rPr>
                <w:rFonts w:ascii="맑은 고딕" w:hAnsi="맑은 고딕" w:eastAsia="맑은 고딕"/>
                <w:sz w:val="19"/>
              </w:rPr>
              <w:t>브라우저별 핵심 시나리오 시험</w:t>
            </w:r>
          </w:p>
        </w:tc>
        <w:tc>
          <w:tcPr>
            <w:tcW w:type="dxa" w:w="1325"/>
          </w:tcPr>
          <w:p>
            <w:r/>
            <w:r>
              <w:rPr>
                <w:rFonts w:ascii="맑은 고딕" w:hAnsi="맑은 고딕" w:eastAsia="맑은 고딕"/>
                <w:sz w:val="19"/>
              </w:rPr>
              <w:t>QUR-002</w:t>
            </w:r>
          </w:p>
        </w:tc>
      </w:tr>
      <w:tr>
        <w:tc>
          <w:tcPr>
            <w:tcW w:type="dxa" w:w="1566"/>
          </w:tcPr>
          <w:p>
            <w:r/>
            <w:r>
              <w:rPr>
                <w:rFonts w:ascii="맑은 고딕" w:hAnsi="맑은 고딕" w:eastAsia="맑은 고딕"/>
                <w:sz w:val="19"/>
              </w:rPr>
              <w:t>성능</w:t>
            </w:r>
          </w:p>
        </w:tc>
        <w:tc>
          <w:tcPr>
            <w:tcW w:type="dxa" w:w="3976"/>
          </w:tcPr>
          <w:p>
            <w:r/>
            <w:r>
              <w:rPr>
                <w:rFonts w:ascii="맑은 고딕" w:hAnsi="맑은 고딕" w:eastAsia="맑은 고딕"/>
                <w:sz w:val="19"/>
              </w:rPr>
              <w:t>목록·검색 응답 3초 이내(고교생과 교사 7만 명이 이용하는 BeAT 공표 규모를 참조해 동시 이용 상황 기준으로 시험)</w:t>
            </w:r>
          </w:p>
        </w:tc>
        <w:tc>
          <w:tcPr>
            <w:tcW w:type="dxa" w:w="2771"/>
          </w:tcPr>
          <w:p>
            <w:r/>
            <w:r>
              <w:rPr>
                <w:rFonts w:ascii="맑은 고딕" w:hAnsi="맑은 고딕" w:eastAsia="맑은 고딕"/>
                <w:sz w:val="19"/>
              </w:rPr>
              <w:t>시험결과서 — 측정값 기재</w:t>
            </w:r>
          </w:p>
        </w:tc>
        <w:tc>
          <w:tcPr>
            <w:tcW w:type="dxa" w:w="1325"/>
          </w:tcPr>
          <w:p>
            <w:r/>
            <w:r>
              <w:rPr>
                <w:rFonts w:ascii="맑은 고딕" w:hAnsi="맑은 고딕" w:eastAsia="맑은 고딕"/>
                <w:sz w:val="19"/>
              </w:rPr>
              <w:t>—</w:t>
            </w:r>
          </w:p>
        </w:tc>
      </w:tr>
      <w:tr>
        <w:tc>
          <w:tcPr>
            <w:tcW w:type="dxa" w:w="1566"/>
          </w:tcPr>
          <w:p>
            <w:r/>
            <w:r>
              <w:rPr>
                <w:rFonts w:ascii="맑은 고딕" w:hAnsi="맑은 고딕" w:eastAsia="맑은 고딕"/>
                <w:sz w:val="19"/>
              </w:rPr>
              <w:t>백업·복구</w:t>
            </w:r>
          </w:p>
        </w:tc>
        <w:tc>
          <w:tcPr>
            <w:tcW w:type="dxa" w:w="3976"/>
          </w:tcPr>
          <w:p>
            <w:r/>
            <w:r>
              <w:rPr>
                <w:rFonts w:ascii="맑은 고딕" w:hAnsi="맑은 고딕" w:eastAsia="맑은 고딕"/>
                <w:sz w:val="19"/>
              </w:rPr>
              <w:t>일 1회 자동 백업, 복구 리허설 1회</w:t>
            </w:r>
          </w:p>
        </w:tc>
        <w:tc>
          <w:tcPr>
            <w:tcW w:type="dxa" w:w="2771"/>
          </w:tcPr>
          <w:p>
            <w:r/>
            <w:r>
              <w:rPr>
                <w:rFonts w:ascii="맑은 고딕" w:hAnsi="맑은 고딕" w:eastAsia="맑은 고딕"/>
                <w:sz w:val="19"/>
              </w:rPr>
              <w:t>복구 절차서·리허설 기록</w:t>
            </w:r>
          </w:p>
        </w:tc>
        <w:tc>
          <w:tcPr>
            <w:tcW w:type="dxa" w:w="1325"/>
          </w:tcPr>
          <w:p>
            <w:r/>
            <w:r>
              <w:rPr>
                <w:rFonts w:ascii="맑은 고딕" w:hAnsi="맑은 고딕" w:eastAsia="맑은 고딕"/>
                <w:sz w:val="19"/>
              </w:rPr>
              <w:t>SIR-002</w:t>
            </w:r>
          </w:p>
        </w:tc>
      </w:tr>
    </w:tbl>
    <w:p>
      <w:pPr>
        <w:pStyle w:val="Note"/>
      </w:pPr>
    </w:p>
    <w:p>
      <w:r>
        <w:br w:type="page"/>
      </w:r>
    </w:p>
    <w:p>
      <w:pPr>
        <w:pStyle w:val="Heading1"/>
      </w:pPr>
      <w:r>
        <w:t>Ⅴ. 프로젝트 관리</w:t>
      </w:r>
    </w:p>
    <w:p>
      <w:pPr>
        <w:pStyle w:val="IdBadge"/>
        <w:shd w:val="clear" w:fill="EEF2F7"/>
      </w:pPr>
      <w:r>
        <w:t>[대응 요구사항: PMR-001]</w:t>
      </w:r>
    </w:p>
    <w:p>
      <w:pPr>
        <w:pStyle w:val="Heading2"/>
      </w:pPr>
      <w:r>
        <w:t>Ⅴ-1. 추진 일정</w:t>
      </w:r>
    </w:p>
    <w:p>
      <w:pPr>
        <w:jc w:val="center"/>
      </w:pPr>
      <w:r>
        <w:drawing>
          <wp:inline xmlns:a="http://schemas.openxmlformats.org/drawingml/2006/main" xmlns:pic="http://schemas.openxmlformats.org/drawingml/2006/picture">
            <wp:extent cx="5760000" cy="3789000"/>
            <wp:docPr id="11" name="Picture 11"/>
            <wp:cNvGraphicFramePr>
              <a:graphicFrameLocks noChangeAspect="1"/>
            </wp:cNvGraphicFramePr>
            <a:graphic>
              <a:graphicData uri="http://schemas.openxmlformats.org/drawingml/2006/picture">
                <pic:pic>
                  <pic:nvPicPr>
                    <pic:cNvPr id="0" name="gantt_b.png"/>
                    <pic:cNvPicPr/>
                  </pic:nvPicPr>
                  <pic:blipFill>
                    <a:blip r:embed="rId20"/>
                    <a:stretch>
                      <a:fillRect/>
                    </a:stretch>
                  </pic:blipFill>
                  <pic:spPr>
                    <a:xfrm>
                      <a:off x="0" y="0"/>
                      <a:ext cx="5760000" cy="3789000"/>
                    </a:xfrm>
                    <a:prstGeom prst="rect"/>
                  </pic:spPr>
                </pic:pic>
              </a:graphicData>
            </a:graphic>
          </wp:inline>
        </w:drawing>
      </w:r>
    </w:p>
    <w:p>
      <w:pPr>
        <w:pStyle w:val="Caption2"/>
        <w:jc w:val="center"/>
      </w:pPr>
      <w:r>
        <w:t>[그림 10] 12주 6단계 공정 — 콘텐츠 제작을 개발과 병행해 기간을 단축한다 (PMR-001)</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84"/>
            <w:shd w:val="clear" w:fill="1F3A5F"/>
          </w:tcPr>
          <w:p>
            <w:r/>
            <w:r>
              <w:rPr>
                <w:rFonts w:ascii="맑은 고딕" w:hAnsi="맑은 고딕" w:eastAsia="맑은 고딕"/>
                <w:b/>
                <w:color w:val="FFFFFF"/>
                <w:sz w:val="19"/>
              </w:rPr>
              <w:t>단계</w:t>
            </w:r>
          </w:p>
        </w:tc>
        <w:tc>
          <w:tcPr>
            <w:tcW w:type="dxa" w:w="1807"/>
            <w:shd w:val="clear" w:fill="1F3A5F"/>
          </w:tcPr>
          <w:p>
            <w:r/>
            <w:r>
              <w:rPr>
                <w:rFonts w:ascii="맑은 고딕" w:hAnsi="맑은 고딕" w:eastAsia="맑은 고딕"/>
                <w:b/>
                <w:color w:val="FFFFFF"/>
                <w:sz w:val="19"/>
              </w:rPr>
              <w:t>구분</w:t>
            </w:r>
          </w:p>
        </w:tc>
        <w:tc>
          <w:tcPr>
            <w:tcW w:type="dxa" w:w="1446"/>
            <w:shd w:val="clear" w:fill="1F3A5F"/>
          </w:tcPr>
          <w:p>
            <w:r/>
            <w:r>
              <w:rPr>
                <w:rFonts w:ascii="맑은 고딕" w:hAnsi="맑은 고딕" w:eastAsia="맑은 고딕"/>
                <w:b/>
                <w:color w:val="FFFFFF"/>
                <w:sz w:val="19"/>
              </w:rPr>
              <w:t>기간</w:t>
            </w:r>
          </w:p>
        </w:tc>
        <w:tc>
          <w:tcPr>
            <w:tcW w:type="dxa" w:w="5301"/>
            <w:shd w:val="clear" w:fill="1F3A5F"/>
          </w:tcPr>
          <w:p>
            <w:r/>
            <w:r>
              <w:rPr>
                <w:rFonts w:ascii="맑은 고딕" w:hAnsi="맑은 고딕" w:eastAsia="맑은 고딕"/>
                <w:b/>
                <w:color w:val="FFFFFF"/>
                <w:sz w:val="19"/>
              </w:rPr>
              <w:t>주요 활동</w:t>
            </w:r>
          </w:p>
        </w:tc>
      </w:tr>
      <w:tr>
        <w:tc>
          <w:tcPr>
            <w:tcW w:type="dxa" w:w="1084"/>
          </w:tcPr>
          <w:p>
            <w:r/>
            <w:r>
              <w:rPr>
                <w:rFonts w:ascii="맑은 고딕" w:hAnsi="맑은 고딕" w:eastAsia="맑은 고딕"/>
                <w:sz w:val="19"/>
              </w:rPr>
              <w:t>1단계</w:t>
            </w:r>
          </w:p>
        </w:tc>
        <w:tc>
          <w:tcPr>
            <w:tcW w:type="dxa" w:w="1807"/>
          </w:tcPr>
          <w:p>
            <w:r/>
            <w:r>
              <w:rPr>
                <w:rFonts w:ascii="맑은 고딕" w:hAnsi="맑은 고딕" w:eastAsia="맑은 고딕"/>
                <w:sz w:val="19"/>
              </w:rPr>
              <w:t>착수 및 분석</w:t>
            </w:r>
          </w:p>
        </w:tc>
        <w:tc>
          <w:tcPr>
            <w:tcW w:type="dxa" w:w="1446"/>
          </w:tcPr>
          <w:p>
            <w:r/>
            <w:r>
              <w:rPr>
                <w:rFonts w:ascii="맑은 고딕" w:hAnsi="맑은 고딕" w:eastAsia="맑은 고딕"/>
                <w:sz w:val="19"/>
              </w:rPr>
              <w:t>1~3주</w:t>
            </w:r>
          </w:p>
        </w:tc>
        <w:tc>
          <w:tcPr>
            <w:tcW w:type="dxa" w:w="5301"/>
          </w:tcPr>
          <w:p>
            <w:r/>
            <w:r>
              <w:rPr>
                <w:rFonts w:ascii="맑은 고딕" w:hAnsi="맑은 고딕" w:eastAsia="맑은 고딕"/>
                <w:sz w:val="19"/>
              </w:rPr>
              <w:t>착수보고, 사례조사(8개 이상), 교원 요구조사(설문 50명·인터뷰 6회)</w:t>
            </w:r>
          </w:p>
        </w:tc>
      </w:tr>
      <w:tr>
        <w:tc>
          <w:tcPr>
            <w:tcW w:type="dxa" w:w="1084"/>
          </w:tcPr>
          <w:p>
            <w:r/>
            <w:r>
              <w:rPr>
                <w:rFonts w:ascii="맑은 고딕" w:hAnsi="맑은 고딕" w:eastAsia="맑은 고딕"/>
                <w:sz w:val="19"/>
              </w:rPr>
              <w:t>2단계</w:t>
            </w:r>
          </w:p>
        </w:tc>
        <w:tc>
          <w:tcPr>
            <w:tcW w:type="dxa" w:w="1807"/>
          </w:tcPr>
          <w:p>
            <w:r/>
            <w:r>
              <w:rPr>
                <w:rFonts w:ascii="맑은 고딕" w:hAnsi="맑은 고딕" w:eastAsia="맑은 고딕"/>
                <w:sz w:val="19"/>
              </w:rPr>
              <w:t>설계</w:t>
            </w:r>
          </w:p>
        </w:tc>
        <w:tc>
          <w:tcPr>
            <w:tcW w:type="dxa" w:w="1446"/>
          </w:tcPr>
          <w:p>
            <w:r/>
            <w:r>
              <w:rPr>
                <w:rFonts w:ascii="맑은 고딕" w:hAnsi="맑은 고딕" w:eastAsia="맑은 고딕"/>
                <w:sz w:val="19"/>
              </w:rPr>
              <w:t>3~5주</w:t>
            </w:r>
          </w:p>
        </w:tc>
        <w:tc>
          <w:tcPr>
            <w:tcW w:type="dxa" w:w="5301"/>
          </w:tcPr>
          <w:p>
            <w:r/>
            <w:r>
              <w:rPr>
                <w:rFonts w:ascii="맑은 고딕" w:hAnsi="맑은 고딕" w:eastAsia="맑은 고딕"/>
                <w:sz w:val="19"/>
              </w:rPr>
              <w:t>정보구조 설계, 화면설계서, 디자인 시안(메인 2안 이상) 승인</w:t>
            </w:r>
          </w:p>
        </w:tc>
      </w:tr>
      <w:tr>
        <w:tc>
          <w:tcPr>
            <w:tcW w:type="dxa" w:w="1084"/>
          </w:tcPr>
          <w:p>
            <w:r/>
            <w:r>
              <w:rPr>
                <w:rFonts w:ascii="맑은 고딕" w:hAnsi="맑은 고딕" w:eastAsia="맑은 고딕"/>
                <w:sz w:val="19"/>
              </w:rPr>
              <w:t>3단계</w:t>
            </w:r>
          </w:p>
        </w:tc>
        <w:tc>
          <w:tcPr>
            <w:tcW w:type="dxa" w:w="1807"/>
          </w:tcPr>
          <w:p>
            <w:r/>
            <w:r>
              <w:rPr>
                <w:rFonts w:ascii="맑은 고딕" w:hAnsi="맑은 고딕" w:eastAsia="맑은 고딕"/>
                <w:sz w:val="19"/>
              </w:rPr>
              <w:t>개발</w:t>
            </w:r>
          </w:p>
        </w:tc>
        <w:tc>
          <w:tcPr>
            <w:tcW w:type="dxa" w:w="1446"/>
          </w:tcPr>
          <w:p>
            <w:r/>
            <w:r>
              <w:rPr>
                <w:rFonts w:ascii="맑은 고딕" w:hAnsi="맑은 고딕" w:eastAsia="맑은 고딕"/>
                <w:sz w:val="19"/>
              </w:rPr>
              <w:t>5~10주</w:t>
            </w:r>
          </w:p>
        </w:tc>
        <w:tc>
          <w:tcPr>
            <w:tcW w:type="dxa" w:w="5301"/>
          </w:tcPr>
          <w:p>
            <w:r/>
            <w:r>
              <w:rPr>
                <w:rFonts w:ascii="맑은 고딕" w:hAnsi="맑은 고딕" w:eastAsia="맑은 고딕"/>
                <w:sz w:val="19"/>
              </w:rPr>
              <w:t>이용자·회원·관리자 기능 개발, 중간보고</w:t>
            </w:r>
          </w:p>
        </w:tc>
      </w:tr>
      <w:tr>
        <w:tc>
          <w:tcPr>
            <w:tcW w:type="dxa" w:w="1084"/>
          </w:tcPr>
          <w:p>
            <w:r/>
            <w:r>
              <w:rPr>
                <w:rFonts w:ascii="맑은 고딕" w:hAnsi="맑은 고딕" w:eastAsia="맑은 고딕"/>
                <w:sz w:val="19"/>
              </w:rPr>
              <w:t>4단계</w:t>
            </w:r>
          </w:p>
        </w:tc>
        <w:tc>
          <w:tcPr>
            <w:tcW w:type="dxa" w:w="1807"/>
          </w:tcPr>
          <w:p>
            <w:r/>
            <w:r>
              <w:rPr>
                <w:rFonts w:ascii="맑은 고딕" w:hAnsi="맑은 고딕" w:eastAsia="맑은 고딕"/>
                <w:sz w:val="19"/>
              </w:rPr>
              <w:t>콘텐츠 제작</w:t>
            </w:r>
          </w:p>
        </w:tc>
        <w:tc>
          <w:tcPr>
            <w:tcW w:type="dxa" w:w="1446"/>
          </w:tcPr>
          <w:p>
            <w:r/>
            <w:r>
              <w:rPr>
                <w:rFonts w:ascii="맑은 고딕" w:hAnsi="맑은 고딕" w:eastAsia="맑은 고딕"/>
                <w:sz w:val="19"/>
              </w:rPr>
              <w:t>4~9주</w:t>
            </w:r>
          </w:p>
        </w:tc>
        <w:tc>
          <w:tcPr>
            <w:tcW w:type="dxa" w:w="5301"/>
          </w:tcPr>
          <w:p>
            <w:r/>
            <w:r>
              <w:rPr>
                <w:rFonts w:ascii="맑은 고딕" w:hAnsi="맑은 고딕" w:eastAsia="맑은 고딕"/>
                <w:sz w:val="19"/>
              </w:rPr>
              <w:t>스킬 25종 제작 및 현직 교원 3인 이상 검수</w:t>
            </w:r>
          </w:p>
        </w:tc>
      </w:tr>
      <w:tr>
        <w:tc>
          <w:tcPr>
            <w:tcW w:type="dxa" w:w="1084"/>
          </w:tcPr>
          <w:p>
            <w:r/>
            <w:r>
              <w:rPr>
                <w:rFonts w:ascii="맑은 고딕" w:hAnsi="맑은 고딕" w:eastAsia="맑은 고딕"/>
                <w:sz w:val="19"/>
              </w:rPr>
              <w:t>5단계</w:t>
            </w:r>
          </w:p>
        </w:tc>
        <w:tc>
          <w:tcPr>
            <w:tcW w:type="dxa" w:w="1807"/>
          </w:tcPr>
          <w:p>
            <w:r/>
            <w:r>
              <w:rPr>
                <w:rFonts w:ascii="맑은 고딕" w:hAnsi="맑은 고딕" w:eastAsia="맑은 고딕"/>
                <w:sz w:val="19"/>
              </w:rPr>
              <w:t>시험·배포</w:t>
            </w:r>
          </w:p>
        </w:tc>
        <w:tc>
          <w:tcPr>
            <w:tcW w:type="dxa" w:w="1446"/>
          </w:tcPr>
          <w:p>
            <w:r/>
            <w:r>
              <w:rPr>
                <w:rFonts w:ascii="맑은 고딕" w:hAnsi="맑은 고딕" w:eastAsia="맑은 고딕"/>
                <w:sz w:val="19"/>
              </w:rPr>
              <w:t>10~11주</w:t>
            </w:r>
          </w:p>
        </w:tc>
        <w:tc>
          <w:tcPr>
            <w:tcW w:type="dxa" w:w="5301"/>
          </w:tcPr>
          <w:p>
            <w:r/>
            <w:r>
              <w:rPr>
                <w:rFonts w:ascii="맑은 고딕" w:hAnsi="맑은 고딕" w:eastAsia="맑은 고딕"/>
                <w:sz w:val="19"/>
              </w:rPr>
              <w:t>통합시험, 웹 취약점 점검·조치, 클라우드 배포</w:t>
            </w:r>
          </w:p>
        </w:tc>
      </w:tr>
      <w:tr>
        <w:tc>
          <w:tcPr>
            <w:tcW w:type="dxa" w:w="1084"/>
          </w:tcPr>
          <w:p>
            <w:r/>
            <w:r>
              <w:rPr>
                <w:rFonts w:ascii="맑은 고딕" w:hAnsi="맑은 고딕" w:eastAsia="맑은 고딕"/>
                <w:sz w:val="19"/>
              </w:rPr>
              <w:t>6단계</w:t>
            </w:r>
          </w:p>
        </w:tc>
        <w:tc>
          <w:tcPr>
            <w:tcW w:type="dxa" w:w="1807"/>
          </w:tcPr>
          <w:p>
            <w:r/>
            <w:r>
              <w:rPr>
                <w:rFonts w:ascii="맑은 고딕" w:hAnsi="맑은 고딕" w:eastAsia="맑은 고딕"/>
                <w:sz w:val="19"/>
              </w:rPr>
              <w:t>연수 및 준공</w:t>
            </w:r>
          </w:p>
        </w:tc>
        <w:tc>
          <w:tcPr>
            <w:tcW w:type="dxa" w:w="1446"/>
          </w:tcPr>
          <w:p>
            <w:r/>
            <w:r>
              <w:rPr>
                <w:rFonts w:ascii="맑은 고딕" w:hAnsi="맑은 고딕" w:eastAsia="맑은 고딕"/>
                <w:sz w:val="19"/>
              </w:rPr>
              <w:t>11~12주</w:t>
            </w:r>
          </w:p>
        </w:tc>
        <w:tc>
          <w:tcPr>
            <w:tcW w:type="dxa" w:w="5301"/>
          </w:tcPr>
          <w:p>
            <w:r/>
            <w:r>
              <w:rPr>
                <w:rFonts w:ascii="맑은 고딕" w:hAnsi="맑은 고딕" w:eastAsia="맑은 고딕"/>
                <w:sz w:val="19"/>
              </w:rPr>
              <w:t>교원 연수 2회, 관리자 교육(4시간 이상), 완료보고 및 검수</w:t>
            </w:r>
          </w:p>
        </w:tc>
      </w:tr>
    </w:tbl>
    <w:p>
      <w:pPr>
        <w:pStyle w:val="Note"/>
      </w:pPr>
    </w:p>
    <w:p>
      <w:pPr/>
      <w:r>
        <w:t>착수계·사업수행계획서는 계약체결일로부터 7일 이내에 제출하고 착수보고를 실시합니다(과업지시서 Ⅶ-2). 일정 변경이 필요하면 발주기관과 서면 협의로 조정하되 총 사업기간은 준수합니다.</w:t>
      </w:r>
    </w:p>
    <w:p>
      <w:pPr>
        <w:pStyle w:val="Heading2"/>
      </w:pPr>
      <w:r>
        <w:t>Ⅴ-2. 수행 조직</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8"/>
            <w:shd w:val="clear" w:fill="1F3A5F"/>
          </w:tcPr>
          <w:p>
            <w:r/>
            <w:r>
              <w:rPr>
                <w:rFonts w:ascii="맑은 고딕" w:hAnsi="맑은 고딕" w:eastAsia="맑은 고딕"/>
                <w:b/>
                <w:color w:val="FFFFFF"/>
                <w:sz w:val="19"/>
              </w:rPr>
              <w:t>역할</w:t>
            </w:r>
          </w:p>
        </w:tc>
        <w:tc>
          <w:tcPr>
            <w:tcW w:type="dxa" w:w="1084"/>
            <w:shd w:val="clear" w:fill="1F3A5F"/>
          </w:tcPr>
          <w:p>
            <w:r/>
            <w:r>
              <w:rPr>
                <w:rFonts w:ascii="맑은 고딕" w:hAnsi="맑은 고딕" w:eastAsia="맑은 고딕"/>
                <w:b/>
                <w:color w:val="FFFFFF"/>
                <w:sz w:val="19"/>
              </w:rPr>
              <w:t>인원</w:t>
            </w:r>
          </w:p>
        </w:tc>
        <w:tc>
          <w:tcPr>
            <w:tcW w:type="dxa" w:w="3735"/>
            <w:shd w:val="clear" w:fill="1F3A5F"/>
          </w:tcPr>
          <w:p>
            <w:r/>
            <w:r>
              <w:rPr>
                <w:rFonts w:ascii="맑은 고딕" w:hAnsi="맑은 고딕" w:eastAsia="맑은 고딕"/>
                <w:b/>
                <w:color w:val="FFFFFF"/>
                <w:sz w:val="19"/>
              </w:rPr>
              <w:t>자격 요건(과업지시서 Ⅶ-1)</w:t>
            </w:r>
          </w:p>
        </w:tc>
        <w:tc>
          <w:tcPr>
            <w:tcW w:type="dxa" w:w="2771"/>
            <w:shd w:val="clear" w:fill="1F3A5F"/>
          </w:tcPr>
          <w:p>
            <w:r/>
            <w:r>
              <w:rPr>
                <w:rFonts w:ascii="맑은 고딕" w:hAnsi="맑은 고딕" w:eastAsia="맑은 고딕"/>
                <w:b/>
                <w:color w:val="FFFFFF"/>
                <w:sz w:val="19"/>
              </w:rPr>
              <w:t>담당 업무</w:t>
            </w:r>
          </w:p>
        </w:tc>
      </w:tr>
      <w:tr>
        <w:tc>
          <w:tcPr>
            <w:tcW w:type="dxa" w:w="2048"/>
          </w:tcPr>
          <w:p>
            <w:r/>
            <w:r>
              <w:rPr>
                <w:rFonts w:ascii="맑은 고딕" w:hAnsi="맑은 고딕" w:eastAsia="맑은 고딕"/>
                <w:sz w:val="19"/>
              </w:rPr>
              <w:t>총괄책임자(PM)</w:t>
            </w:r>
          </w:p>
        </w:tc>
        <w:tc>
          <w:tcPr>
            <w:tcW w:type="dxa" w:w="1084"/>
          </w:tcPr>
          <w:p>
            <w:r/>
            <w:r>
              <w:rPr>
                <w:rFonts w:ascii="맑은 고딕" w:hAnsi="맑은 고딕" w:eastAsia="맑은 고딕"/>
                <w:sz w:val="19"/>
              </w:rPr>
              <w:t>1명</w:t>
            </w:r>
          </w:p>
        </w:tc>
        <w:tc>
          <w:tcPr>
            <w:tcW w:type="dxa" w:w="3735"/>
          </w:tcPr>
          <w:p>
            <w:r/>
            <w:r>
              <w:rPr>
                <w:rFonts w:ascii="맑은 고딕" w:hAnsi="맑은 고딕" w:eastAsia="맑은 고딕"/>
                <w:sz w:val="19"/>
              </w:rPr>
              <w:t>정보처리 또는 SW 분야 경력 7년 이상</w:t>
            </w:r>
          </w:p>
        </w:tc>
        <w:tc>
          <w:tcPr>
            <w:tcW w:type="dxa" w:w="2771"/>
          </w:tcPr>
          <w:p>
            <w:r/>
            <w:r>
              <w:rPr>
                <w:rFonts w:ascii="맑은 고딕" w:hAnsi="맑은 고딕" w:eastAsia="맑은 고딕"/>
                <w:sz w:val="19"/>
              </w:rPr>
              <w:t>사업 총괄, 발주기관 협의 창구</w:t>
            </w:r>
          </w:p>
        </w:tc>
      </w:tr>
      <w:tr>
        <w:tc>
          <w:tcPr>
            <w:tcW w:type="dxa" w:w="2048"/>
          </w:tcPr>
          <w:p>
            <w:r/>
            <w:r>
              <w:rPr>
                <w:rFonts w:ascii="맑은 고딕" w:hAnsi="맑은 고딕" w:eastAsia="맑은 고딕"/>
                <w:sz w:val="19"/>
              </w:rPr>
              <w:t>개발자</w:t>
            </w:r>
          </w:p>
        </w:tc>
        <w:tc>
          <w:tcPr>
            <w:tcW w:type="dxa" w:w="1084"/>
          </w:tcPr>
          <w:p>
            <w:r/>
            <w:r>
              <w:rPr>
                <w:rFonts w:ascii="맑은 고딕" w:hAnsi="맑은 고딕" w:eastAsia="맑은 고딕"/>
                <w:sz w:val="19"/>
              </w:rPr>
              <w:t>2명 이상</w:t>
            </w:r>
          </w:p>
        </w:tc>
        <w:tc>
          <w:tcPr>
            <w:tcW w:type="dxa" w:w="3735"/>
          </w:tcPr>
          <w:p>
            <w:r/>
            <w:r>
              <w:rPr>
                <w:rFonts w:ascii="맑은 고딕" w:hAnsi="맑은 고딕" w:eastAsia="맑은 고딕"/>
                <w:sz w:val="19"/>
              </w:rPr>
              <w:t>웹 개발 경력 3년 이상(1명은 5년 이상)</w:t>
            </w:r>
          </w:p>
        </w:tc>
        <w:tc>
          <w:tcPr>
            <w:tcW w:type="dxa" w:w="2771"/>
          </w:tcPr>
          <w:p>
            <w:r/>
            <w:r>
              <w:rPr>
                <w:rFonts w:ascii="맑은 고딕" w:hAnsi="맑은 고딕" w:eastAsia="맑은 고딕"/>
                <w:sz w:val="19"/>
              </w:rPr>
              <w:t>프론트엔드·백엔드 개발</w:t>
            </w:r>
          </w:p>
        </w:tc>
      </w:tr>
      <w:tr>
        <w:tc>
          <w:tcPr>
            <w:tcW w:type="dxa" w:w="2048"/>
          </w:tcPr>
          <w:p>
            <w:r/>
            <w:r>
              <w:rPr>
                <w:rFonts w:ascii="맑은 고딕" w:hAnsi="맑은 고딕" w:eastAsia="맑은 고딕"/>
                <w:sz w:val="19"/>
              </w:rPr>
              <w:t>디자이너</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웹 디자인 경력 3년 이상</w:t>
            </w:r>
          </w:p>
        </w:tc>
        <w:tc>
          <w:tcPr>
            <w:tcW w:type="dxa" w:w="2771"/>
          </w:tcPr>
          <w:p>
            <w:r/>
            <w:r>
              <w:rPr>
                <w:rFonts w:ascii="맑은 고딕" w:hAnsi="맑은 고딕" w:eastAsia="맑은 고딕"/>
                <w:sz w:val="19"/>
              </w:rPr>
              <w:t>UI/UX 디자인 및 퍼블리싱</w:t>
            </w:r>
          </w:p>
        </w:tc>
      </w:tr>
      <w:tr>
        <w:tc>
          <w:tcPr>
            <w:tcW w:type="dxa" w:w="2048"/>
          </w:tcPr>
          <w:p>
            <w:r/>
            <w:r>
              <w:rPr>
                <w:rFonts w:ascii="맑은 고딕" w:hAnsi="맑은 고딕" w:eastAsia="맑은 고딕"/>
                <w:sz w:val="19"/>
              </w:rPr>
              <w:t>콘텐츠 기획자</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교육 분야 또는 생성형 AI 활용 교육 경력</w:t>
            </w:r>
          </w:p>
        </w:tc>
        <w:tc>
          <w:tcPr>
            <w:tcW w:type="dxa" w:w="2771"/>
          </w:tcPr>
          <w:p>
            <w:r/>
            <w:r>
              <w:rPr>
                <w:rFonts w:ascii="맑은 고딕" w:hAnsi="맑은 고딕" w:eastAsia="맑은 고딕"/>
                <w:sz w:val="19"/>
              </w:rPr>
              <w:t>스킬 콘텐츠 기획·제작</w:t>
            </w:r>
          </w:p>
        </w:tc>
      </w:tr>
      <w:tr>
        <w:tc>
          <w:tcPr>
            <w:tcW w:type="dxa" w:w="2048"/>
          </w:tcPr>
          <w:p>
            <w:r/>
            <w:r>
              <w:rPr>
                <w:rFonts w:ascii="맑은 고딕" w:hAnsi="맑은 고딕" w:eastAsia="맑은 고딕"/>
                <w:sz w:val="19"/>
              </w:rPr>
              <w:t>연수 강사</w:t>
            </w:r>
          </w:p>
        </w:tc>
        <w:tc>
          <w:tcPr>
            <w:tcW w:type="dxa" w:w="1084"/>
          </w:tcPr>
          <w:p>
            <w:r/>
            <w:r>
              <w:rPr>
                <w:rFonts w:ascii="맑은 고딕" w:hAnsi="맑은 고딕" w:eastAsia="맑은 고딕"/>
                <w:sz w:val="19"/>
              </w:rPr>
              <w:t>1명 이상</w:t>
            </w:r>
          </w:p>
        </w:tc>
        <w:tc>
          <w:tcPr>
            <w:tcW w:type="dxa" w:w="3735"/>
          </w:tcPr>
          <w:p>
            <w:r/>
            <w:r>
              <w:rPr>
                <w:rFonts w:ascii="맑은 고딕" w:hAnsi="맑은 고딕" w:eastAsia="맑은 고딕"/>
                <w:sz w:val="19"/>
              </w:rPr>
              <w:t>생성형 AI 활용 교육 강의 경력</w:t>
            </w:r>
          </w:p>
        </w:tc>
        <w:tc>
          <w:tcPr>
            <w:tcW w:type="dxa" w:w="2771"/>
          </w:tcPr>
          <w:p>
            <w:r/>
            <w:r>
              <w:rPr>
                <w:rFonts w:ascii="맑은 고딕" w:hAnsi="맑은 고딕" w:eastAsia="맑은 고딕"/>
                <w:sz w:val="19"/>
              </w:rPr>
              <w:t>교원 연수 운영</w:t>
            </w:r>
          </w:p>
        </w:tc>
      </w:tr>
    </w:tbl>
    <w:p>
      <w:pPr>
        <w:pStyle w:val="Note"/>
      </w:pPr>
    </w:p>
    <w:p>
      <w:pPr>
        <w:pStyle w:val="Note"/>
      </w:pPr>
      <w:r>
        <w:t>참여인력은 착수 시 명단 기준으로 고정하며, 교체가 불가피하면 동등 이상 자격 인력으로 발주기관 사전 승인을 받아 교체합니다. PM 실명과 경력 증빙은 착수계(사업책임자계)와 일치시켜 제출합니다.</w:t>
      </w:r>
    </w:p>
    <w:p>
      <w:pPr>
        <w:pStyle w:val="Heading2"/>
      </w:pPr>
      <w:r>
        <w:t>Ⅴ-3. 보고·의사소통 체계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66"/>
            <w:shd w:val="clear" w:fill="1F3A5F"/>
          </w:tcPr>
          <w:p>
            <w:r/>
            <w:r>
              <w:rPr>
                <w:rFonts w:ascii="맑은 고딕" w:hAnsi="맑은 고딕" w:eastAsia="맑은 고딕"/>
                <w:b/>
                <w:color w:val="FFFFFF"/>
                <w:sz w:val="19"/>
              </w:rPr>
              <w:t>층위</w:t>
            </w:r>
          </w:p>
        </w:tc>
        <w:tc>
          <w:tcPr>
            <w:tcW w:type="dxa" w:w="2409"/>
            <w:shd w:val="clear" w:fill="1F3A5F"/>
          </w:tcPr>
          <w:p>
            <w:r/>
            <w:r>
              <w:rPr>
                <w:rFonts w:ascii="맑은 고딕" w:hAnsi="맑은 고딕" w:eastAsia="맑은 고딕"/>
                <w:b/>
                <w:color w:val="FFFFFF"/>
                <w:sz w:val="19"/>
              </w:rPr>
              <w:t>주기</w:t>
            </w:r>
          </w:p>
        </w:tc>
        <w:tc>
          <w:tcPr>
            <w:tcW w:type="dxa" w:w="2048"/>
            <w:shd w:val="clear" w:fill="1F3A5F"/>
          </w:tcPr>
          <w:p>
            <w:r/>
            <w:r>
              <w:rPr>
                <w:rFonts w:ascii="맑은 고딕" w:hAnsi="맑은 고딕" w:eastAsia="맑은 고딕"/>
                <w:b/>
                <w:color w:val="FFFFFF"/>
                <w:sz w:val="19"/>
              </w:rPr>
              <w:t>형식</w:t>
            </w:r>
          </w:p>
        </w:tc>
        <w:tc>
          <w:tcPr>
            <w:tcW w:type="dxa" w:w="3614"/>
            <w:shd w:val="clear" w:fill="1F3A5F"/>
          </w:tcPr>
          <w:p>
            <w:r/>
            <w:r>
              <w:rPr>
                <w:rFonts w:ascii="맑은 고딕" w:hAnsi="맑은 고딕" w:eastAsia="맑은 고딕"/>
                <w:b/>
                <w:color w:val="FFFFFF"/>
                <w:sz w:val="19"/>
              </w:rPr>
              <w:t>내용·결정 범위</w:t>
            </w:r>
          </w:p>
        </w:tc>
      </w:tr>
      <w:tr>
        <w:tc>
          <w:tcPr>
            <w:tcW w:type="dxa" w:w="1566"/>
          </w:tcPr>
          <w:p>
            <w:r/>
            <w:r>
              <w:rPr>
                <w:rFonts w:ascii="맑은 고딕" w:hAnsi="맑은 고딕" w:eastAsia="맑은 고딕"/>
                <w:sz w:val="19"/>
              </w:rPr>
              <w:t>진행 공유</w:t>
            </w:r>
          </w:p>
        </w:tc>
        <w:tc>
          <w:tcPr>
            <w:tcW w:type="dxa" w:w="2409"/>
          </w:tcPr>
          <w:p>
            <w:r/>
            <w:r>
              <w:rPr>
                <w:rFonts w:ascii="맑은 고딕" w:hAnsi="맑은 고딕" w:eastAsia="맑은 고딕"/>
                <w:sz w:val="19"/>
              </w:rPr>
              <w:t>격주 1회 이상(내부 기준 주 1회)</w:t>
            </w:r>
          </w:p>
        </w:tc>
        <w:tc>
          <w:tcPr>
            <w:tcW w:type="dxa" w:w="2048"/>
          </w:tcPr>
          <w:p>
            <w:r/>
            <w:r>
              <w:rPr>
                <w:rFonts w:ascii="맑은 고딕" w:hAnsi="맑은 고딕" w:eastAsia="맑은 고딕"/>
                <w:sz w:val="19"/>
              </w:rPr>
              <w:t>서면(전자우편)·유선</w:t>
            </w:r>
          </w:p>
        </w:tc>
        <w:tc>
          <w:tcPr>
            <w:tcW w:type="dxa" w:w="3614"/>
          </w:tcPr>
          <w:p>
            <w:r/>
            <w:r>
              <w:rPr>
                <w:rFonts w:ascii="맑은 고딕" w:hAnsi="맑은 고딕" w:eastAsia="맑은 고딕"/>
                <w:sz w:val="19"/>
              </w:rPr>
              <w:t>진행률·이슈·다음 주 계획 — 과업지시서 Ⅶ-2 이행</w:t>
            </w:r>
          </w:p>
        </w:tc>
      </w:tr>
      <w:tr>
        <w:tc>
          <w:tcPr>
            <w:tcW w:type="dxa" w:w="1566"/>
          </w:tcPr>
          <w:p>
            <w:r/>
            <w:r>
              <w:rPr>
                <w:rFonts w:ascii="맑은 고딕" w:hAnsi="맑은 고딕" w:eastAsia="맑은 고딕"/>
                <w:sz w:val="19"/>
              </w:rPr>
              <w:t>단계 보고</w:t>
            </w:r>
          </w:p>
        </w:tc>
        <w:tc>
          <w:tcPr>
            <w:tcW w:type="dxa" w:w="2409"/>
          </w:tcPr>
          <w:p>
            <w:r/>
            <w:r>
              <w:rPr>
                <w:rFonts w:ascii="맑은 고딕" w:hAnsi="맑은 고딕" w:eastAsia="맑은 고딕"/>
                <w:sz w:val="19"/>
              </w:rPr>
              <w:t>착수 · 중간 · 완료 3회</w:t>
            </w:r>
          </w:p>
        </w:tc>
        <w:tc>
          <w:tcPr>
            <w:tcW w:type="dxa" w:w="2048"/>
          </w:tcPr>
          <w:p>
            <w:r/>
            <w:r>
              <w:rPr>
                <w:rFonts w:ascii="맑은 고딕" w:hAnsi="맑은 고딕" w:eastAsia="맑은 고딕"/>
                <w:sz w:val="19"/>
              </w:rPr>
              <w:t>대면 보고회</w:t>
            </w:r>
          </w:p>
        </w:tc>
        <w:tc>
          <w:tcPr>
            <w:tcW w:type="dxa" w:w="3614"/>
          </w:tcPr>
          <w:p>
            <w:r/>
            <w:r>
              <w:rPr>
                <w:rFonts w:ascii="맑은 고딕" w:hAnsi="맑은 고딕" w:eastAsia="맑은 고딕"/>
                <w:sz w:val="19"/>
              </w:rPr>
              <w:t>단계 산출물 승인, 범위·일정 조정 협의</w:t>
            </w:r>
          </w:p>
        </w:tc>
      </w:tr>
      <w:tr>
        <w:tc>
          <w:tcPr>
            <w:tcW w:type="dxa" w:w="1566"/>
          </w:tcPr>
          <w:p>
            <w:r/>
            <w:r>
              <w:rPr>
                <w:rFonts w:ascii="맑은 고딕" w:hAnsi="맑은 고딕" w:eastAsia="맑은 고딕"/>
                <w:sz w:val="19"/>
              </w:rPr>
              <w:t>검토 회의</w:t>
            </w:r>
          </w:p>
        </w:tc>
        <w:tc>
          <w:tcPr>
            <w:tcW w:type="dxa" w:w="2409"/>
          </w:tcPr>
          <w:p>
            <w:r/>
            <w:r>
              <w:rPr>
                <w:rFonts w:ascii="맑은 고딕" w:hAnsi="맑은 고딕" w:eastAsia="맑은 고딕"/>
                <w:sz w:val="19"/>
              </w:rPr>
              <w:t>설계·개발 단계별 1회 이상</w:t>
            </w:r>
          </w:p>
        </w:tc>
        <w:tc>
          <w:tcPr>
            <w:tcW w:type="dxa" w:w="2048"/>
          </w:tcPr>
          <w:p>
            <w:r/>
            <w:r>
              <w:rPr>
                <w:rFonts w:ascii="맑은 고딕" w:hAnsi="맑은 고딕" w:eastAsia="맑은 고딕"/>
                <w:sz w:val="19"/>
              </w:rPr>
              <w:t>대면·화상</w:t>
            </w:r>
          </w:p>
        </w:tc>
        <w:tc>
          <w:tcPr>
            <w:tcW w:type="dxa" w:w="3614"/>
          </w:tcPr>
          <w:p>
            <w:r/>
            <w:r>
              <w:rPr>
                <w:rFonts w:ascii="맑은 고딕" w:hAnsi="맑은 고딕" w:eastAsia="맑은 고딕"/>
                <w:sz w:val="19"/>
              </w:rPr>
              <w:t>화면설계서 승인, 요구사항 대비 이행 대조</w:t>
            </w:r>
          </w:p>
        </w:tc>
      </w:tr>
      <w:tr>
        <w:tc>
          <w:tcPr>
            <w:tcW w:type="dxa" w:w="1566"/>
          </w:tcPr>
          <w:p>
            <w:r/>
            <w:r>
              <w:rPr>
                <w:rFonts w:ascii="맑은 고딕" w:hAnsi="맑은 고딕" w:eastAsia="맑은 고딕"/>
                <w:sz w:val="19"/>
              </w:rPr>
              <w:t>수시 협의</w:t>
            </w:r>
          </w:p>
        </w:tc>
        <w:tc>
          <w:tcPr>
            <w:tcW w:type="dxa" w:w="2409"/>
          </w:tcPr>
          <w:p>
            <w:r/>
            <w:r>
              <w:rPr>
                <w:rFonts w:ascii="맑은 고딕" w:hAnsi="맑은 고딕" w:eastAsia="맑은 고딕"/>
                <w:sz w:val="19"/>
              </w:rPr>
              <w:t>발주기관 요청 시</w:t>
            </w:r>
          </w:p>
        </w:tc>
        <w:tc>
          <w:tcPr>
            <w:tcW w:type="dxa" w:w="2048"/>
          </w:tcPr>
          <w:p>
            <w:r/>
            <w:r>
              <w:rPr>
                <w:rFonts w:ascii="맑은 고딕" w:hAnsi="맑은 고딕" w:eastAsia="맑은 고딕"/>
                <w:sz w:val="19"/>
              </w:rPr>
              <w:t>대면(부산 관내 당일 대응)</w:t>
            </w:r>
          </w:p>
        </w:tc>
        <w:tc>
          <w:tcPr>
            <w:tcW w:type="dxa" w:w="3614"/>
          </w:tcPr>
          <w:p>
            <w:r/>
            <w:r>
              <w:rPr>
                <w:rFonts w:ascii="맑은 고딕" w:hAnsi="맑은 고딕" w:eastAsia="맑은 고딕"/>
                <w:sz w:val="19"/>
              </w:rPr>
              <w:t>현안 처리 — 요청일 기준 익일 내 회신</w:t>
            </w:r>
          </w:p>
        </w:tc>
      </w:tr>
    </w:tbl>
    <w:p>
      <w:pPr>
        <w:pStyle w:val="Note"/>
      </w:pPr>
    </w:p>
    <w:p>
      <w:pPr>
        <w:pStyle w:val="Heading2"/>
      </w:pPr>
      <w:r>
        <w:t>Ⅴ-4. 위험 관리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38"/>
            <w:shd w:val="clear" w:fill="1F3A5F"/>
          </w:tcPr>
          <w:p>
            <w:r/>
            <w:r>
              <w:rPr>
                <w:rFonts w:ascii="맑은 고딕" w:hAnsi="맑은 고딕" w:eastAsia="맑은 고딕"/>
                <w:b/>
                <w:color w:val="FFFFFF"/>
                <w:sz w:val="19"/>
              </w:rPr>
              <w:t>위험</w:t>
            </w:r>
          </w:p>
        </w:tc>
        <w:tc>
          <w:tcPr>
            <w:tcW w:type="dxa" w:w="1015"/>
            <w:shd w:val="clear" w:fill="1F3A5F"/>
          </w:tcPr>
          <w:p>
            <w:r/>
            <w:r>
              <w:rPr>
                <w:rFonts w:ascii="맑은 고딕" w:hAnsi="맑은 고딕" w:eastAsia="맑은 고딕"/>
                <w:b/>
                <w:color w:val="FFFFFF"/>
                <w:sz w:val="19"/>
              </w:rPr>
              <w:t>발생가능성</w:t>
            </w:r>
          </w:p>
        </w:tc>
        <w:tc>
          <w:tcPr>
            <w:tcW w:type="dxa" w:w="913"/>
            <w:shd w:val="clear" w:fill="1F3A5F"/>
          </w:tcPr>
          <w:p>
            <w:r/>
            <w:r>
              <w:rPr>
                <w:rFonts w:ascii="맑은 고딕" w:hAnsi="맑은 고딕" w:eastAsia="맑은 고딕"/>
                <w:b/>
                <w:color w:val="FFFFFF"/>
                <w:sz w:val="19"/>
              </w:rPr>
              <w:t>영향도</w:t>
            </w:r>
          </w:p>
        </w:tc>
        <w:tc>
          <w:tcPr>
            <w:tcW w:type="dxa" w:w="3044"/>
            <w:shd w:val="clear" w:fill="1F3A5F"/>
          </w:tcPr>
          <w:p>
            <w:r/>
            <w:r>
              <w:rPr>
                <w:rFonts w:ascii="맑은 고딕" w:hAnsi="맑은 고딕" w:eastAsia="맑은 고딕"/>
                <w:b/>
                <w:color w:val="FFFFFF"/>
                <w:sz w:val="19"/>
              </w:rPr>
              <w:t>대응(담당)</w:t>
            </w:r>
          </w:p>
        </w:tc>
        <w:tc>
          <w:tcPr>
            <w:tcW w:type="dxa" w:w="2029"/>
            <w:shd w:val="clear" w:fill="1F3A5F"/>
          </w:tcPr>
          <w:p>
            <w:r/>
            <w:r>
              <w:rPr>
                <w:rFonts w:ascii="맑은 고딕" w:hAnsi="맑은 고딕" w:eastAsia="맑은 고딕"/>
                <w:b/>
                <w:color w:val="FFFFFF"/>
                <w:sz w:val="19"/>
              </w:rPr>
              <w:t>대안</w:t>
            </w:r>
          </w:p>
        </w:tc>
      </w:tr>
      <w:tr>
        <w:tc>
          <w:tcPr>
            <w:tcW w:type="dxa" w:w="2638"/>
          </w:tcPr>
          <w:p>
            <w:r/>
            <w:r>
              <w:rPr>
                <w:rFonts w:ascii="맑은 고딕" w:hAnsi="맑은 고딕" w:eastAsia="맑은 고딕"/>
                <w:sz w:val="19"/>
              </w:rPr>
              <w:t>AI 스킬 콘텐츠의 저작권·라이선스 확인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높음</w:t>
            </w:r>
          </w:p>
        </w:tc>
        <w:tc>
          <w:tcPr>
            <w:tcW w:type="dxa" w:w="3044"/>
          </w:tcPr>
          <w:p>
            <w:r/>
            <w:r>
              <w:rPr>
                <w:rFonts w:ascii="맑은 고딕" w:hAnsi="맑은 고딕" w:eastAsia="맑은 고딕"/>
                <w:sz w:val="19"/>
              </w:rPr>
              <w:t>착수 2주 내 소재·인용 기준표를 확정하고 스킬별 체크리스트로 제작 단계에서 확인(콘텐츠 기획자)</w:t>
            </w:r>
          </w:p>
        </w:tc>
        <w:tc>
          <w:tcPr>
            <w:tcW w:type="dxa" w:w="2029"/>
          </w:tcPr>
          <w:p>
            <w:r/>
            <w:r>
              <w:rPr>
                <w:rFonts w:ascii="맑은 고딕" w:hAnsi="맑은 고딕" w:eastAsia="맑은 고딕"/>
                <w:sz w:val="19"/>
              </w:rPr>
              <w:t>문제 소지 항목은 자체 제작 예시로 대체</w:t>
            </w:r>
          </w:p>
        </w:tc>
      </w:tr>
      <w:tr>
        <w:tc>
          <w:tcPr>
            <w:tcW w:type="dxa" w:w="2638"/>
          </w:tcPr>
          <w:p>
            <w:r/>
            <w:r>
              <w:rPr>
                <w:rFonts w:ascii="맑은 고딕" w:hAnsi="맑은 고딕" w:eastAsia="맑은 고딕"/>
                <w:sz w:val="19"/>
              </w:rPr>
              <w:t>교육청 내부 절차(도메인·보안성 검토 이행 확인)로 인한 배포 지연</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착수보고에서 내부 절차 일정을 확인해 공정표에 반영(PM), 개통 2주 전 사전 점검</w:t>
            </w:r>
          </w:p>
        </w:tc>
        <w:tc>
          <w:tcPr>
            <w:tcW w:type="dxa" w:w="2029"/>
          </w:tcPr>
          <w:p>
            <w:r/>
            <w:r>
              <w:rPr>
                <w:rFonts w:ascii="맑은 고딕" w:hAnsi="맑은 고딕" w:eastAsia="맑은 고딕"/>
                <w:sz w:val="19"/>
              </w:rPr>
              <w:t>임시 도메인으로 검수를 먼저 진행하고 공식 도메인 전환을 분리</w:t>
            </w:r>
          </w:p>
        </w:tc>
      </w:tr>
      <w:tr>
        <w:tc>
          <w:tcPr>
            <w:tcW w:type="dxa" w:w="2638"/>
          </w:tcPr>
          <w:p>
            <w:r/>
            <w:r>
              <w:rPr>
                <w:rFonts w:ascii="맑은 고딕" w:hAnsi="맑은 고딕" w:eastAsia="맑은 고딕"/>
                <w:sz w:val="19"/>
              </w:rPr>
              <w:t>학사일정(시험·방학)과 교원 검수·연수 일정 충돌</w:t>
            </w:r>
          </w:p>
        </w:tc>
        <w:tc>
          <w:tcPr>
            <w:tcW w:type="dxa" w:w="1015"/>
          </w:tcPr>
          <w:p>
            <w:r/>
            <w:r>
              <w:rPr>
                <w:rFonts w:ascii="맑은 고딕" w:hAnsi="맑은 고딕" w:eastAsia="맑은 고딕"/>
                <w:sz w:val="19"/>
              </w:rPr>
              <w:t>높음</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착수 시 발주기관과 검수·연수 후보일을 2개 이상 확보(PM)</w:t>
            </w:r>
          </w:p>
        </w:tc>
        <w:tc>
          <w:tcPr>
            <w:tcW w:type="dxa" w:w="2029"/>
          </w:tcPr>
          <w:p>
            <w:r/>
            <w:r>
              <w:rPr>
                <w:rFonts w:ascii="맑은 고딕" w:hAnsi="맑은 고딕" w:eastAsia="맑은 고딕"/>
                <w:sz w:val="19"/>
              </w:rPr>
              <w:t>온라인 병행·분산 검수로 전환</w:t>
            </w:r>
          </w:p>
        </w:tc>
      </w:tr>
      <w:tr>
        <w:tc>
          <w:tcPr>
            <w:tcW w:type="dxa" w:w="2638"/>
          </w:tcPr>
          <w:p>
            <w:r/>
            <w:r>
              <w:rPr>
                <w:rFonts w:ascii="맑은 고딕" w:hAnsi="맑은 고딕" w:eastAsia="맑은 고딕"/>
                <w:sz w:val="19"/>
              </w:rPr>
              <w:t>웹 취약점 점검 결과 조치 소요</w:t>
            </w:r>
          </w:p>
        </w:tc>
        <w:tc>
          <w:tcPr>
            <w:tcW w:type="dxa" w:w="1015"/>
          </w:tcPr>
          <w:p>
            <w:r/>
            <w:r>
              <w:rPr>
                <w:rFonts w:ascii="맑은 고딕" w:hAnsi="맑은 고딕" w:eastAsia="맑은 고딕"/>
                <w:sz w:val="19"/>
              </w:rPr>
              <w:t>중</w:t>
            </w:r>
          </w:p>
        </w:tc>
        <w:tc>
          <w:tcPr>
            <w:tcW w:type="dxa" w:w="913"/>
          </w:tcPr>
          <w:p>
            <w:r/>
            <w:r>
              <w:rPr>
                <w:rFonts w:ascii="맑은 고딕" w:hAnsi="맑은 고딕" w:eastAsia="맑은 고딕"/>
                <w:sz w:val="19"/>
              </w:rPr>
              <w:t>중</w:t>
            </w:r>
          </w:p>
        </w:tc>
        <w:tc>
          <w:tcPr>
            <w:tcW w:type="dxa" w:w="3044"/>
          </w:tcPr>
          <w:p>
            <w:r/>
            <w:r>
              <w:rPr>
                <w:rFonts w:ascii="맑은 고딕" w:hAnsi="맑은 고딕" w:eastAsia="맑은 고딕"/>
                <w:sz w:val="19"/>
              </w:rPr>
              <w:t>개발 중 시큐어코딩 진단을 병행해 개통 전 점검에서의 신규 발견을 축소(개발자)</w:t>
            </w:r>
          </w:p>
        </w:tc>
        <w:tc>
          <w:tcPr>
            <w:tcW w:type="dxa" w:w="2029"/>
          </w:tcPr>
          <w:p>
            <w:r/>
            <w:r>
              <w:rPr>
                <w:rFonts w:ascii="맑은 고딕" w:hAnsi="맑은 고딕" w:eastAsia="맑은 고딕"/>
                <w:sz w:val="19"/>
              </w:rPr>
              <w:t>조치 기간 1주를 공정표 버퍼로 확보</w:t>
            </w:r>
          </w:p>
        </w:tc>
      </w:tr>
    </w:tbl>
    <w:p>
      <w:pPr>
        <w:pStyle w:val="Note"/>
      </w:pPr>
    </w:p>
    <w:p>
      <w:pPr>
        <w:pStyle w:val="Heading2"/>
      </w:pPr>
      <w:r>
        <w:t>Ⅴ-5. 기밀·보안 관리</w:t>
      </w:r>
    </w:p>
    <w:p>
      <w:pPr/>
      <w:r>
        <w:t>전 참여인력의 보안서약서를 착수 시 제출하고, 사업 중 취득한 정보는 목적 외 사용을 금지하며 이 의무는 계약 종료 후에도 유지합니다. 개발·시험에는 가명 처리 데이터만 사용하고, 종료 시 보유 자료를 반납하거나 복구 불가능한 방법으로 파기해 결과를 통보합니다(과업지시서 ⅩⅠ장). 저장매체 처리와 발주기관 보안점검에 협조합니다.</w:t>
      </w:r>
    </w:p>
    <w:p>
      <w:r>
        <w:br w:type="page"/>
      </w:r>
    </w:p>
    <w:p>
      <w:pPr>
        <w:pStyle w:val="Heading1"/>
      </w:pPr>
      <w:r>
        <w:t>Ⅵ. 프로젝트 지원</w:t>
      </w:r>
    </w:p>
    <w:p>
      <w:pPr>
        <w:pStyle w:val="Heading2"/>
      </w:pPr>
      <w:r>
        <w:t>Ⅵ-1. 인수인계</w:t>
      </w:r>
    </w:p>
    <w:p>
      <w:pPr/>
      <w:r>
        <w:t>관리자 기능 교육(4시간 이상)을 발주기관 담당자 대상으로 실시하고, 이용자·관리자 매뉴얼을 함께 제출합니다. 소스코드는 형상관리 저장소 또는 압축본으로 제3자 라이선스 목록과 함께 제출하며, 기보유 자산 사용 목록을 명시해 발주기관에 본 사업 목적 범위의 무상·영구 사용권을 부여합니다(과업지시서 Ⅹ장).</w:t>
      </w:r>
    </w:p>
    <w:p>
      <w:pPr>
        <w:pStyle w:val="Heading2"/>
      </w:pPr>
      <w:r>
        <w:t>Ⅵ-2. 교육·연수 지원</w:t>
      </w:r>
    </w:p>
    <w:p>
      <w:pPr>
        <w:pStyle w:val="IdBadge"/>
        <w:shd w:val="clear" w:fill="EEF2F7"/>
      </w:pPr>
      <w:r>
        <w:t>[대응 요구사항: PSR-001]</w:t>
      </w:r>
    </w:p>
    <w:p>
      <w:pPr/>
      <w:r>
        <w:t>관내 교원 대상 3시간 활용 연수를 2회 실시합니다(회당 30명 내외, 장소는 발주기관 지정). 구성: 포털 이용 방법(40분) → 영역별 스킬 활용 실습(100분, 노트북 실습) → 개인정보·저작권 유의사항(40분). 교재는 인쇄·전자파일로 제공하고, 연수 종료 시 만족도 조사를 실시해 결과보고서에 수록합니다(PSR-001). 실시간 온라인 병행 여부는 발주기관과 협의해 확정합니다.</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training_1.png"/>
                    <pic:cNvPicPr/>
                  </pic:nvPicPr>
                  <pic:blipFill>
                    <a:blip r:embed="rId21"/>
                    <a:stretch>
                      <a:fillRect/>
                    </a:stretch>
                  </pic:blipFill>
                  <pic:spPr>
                    <a:xfrm>
                      <a:off x="0" y="0"/>
                      <a:ext cx="5040000" cy="2835000"/>
                    </a:xfrm>
                    <a:prstGeom prst="rect"/>
                  </pic:spPr>
                </pic:pic>
              </a:graphicData>
            </a:graphic>
          </wp:inline>
        </w:drawing>
      </w:r>
    </w:p>
    <w:p>
      <w:pPr>
        <w:pStyle w:val="Caption2"/>
        <w:jc w:val="center"/>
      </w:pPr>
      <w:r>
        <w:t>[그림 11] 교원 활용 연수는 강의가 아니라 노트북 실습 중심으로 운영한다 (PSR-001)</w:t>
      </w:r>
    </w:p>
    <w:p>
      <w:pPr>
        <w:pStyle w:val="Heading2"/>
      </w:pPr>
      <w:r>
        <w:t>Ⅵ-3. 기술지원</w:t>
      </w:r>
    </w:p>
    <w:p>
      <w:pPr/>
      <w:r>
        <w:t>장애·문의 접수 창구(전자우편·유선)를 단일화하고 접수 대장을 유지합니다. 부산 관내 소재의 이점으로 현장 대응이 필요한 사안은 익일 내 방문합니다.</w:t>
      </w:r>
    </w:p>
    <w:p>
      <w:pPr>
        <w:pStyle w:val="Heading2"/>
      </w:pPr>
      <w:r>
        <w:t>Ⅵ-4. 하자보수</w:t>
      </w:r>
    </w:p>
    <w:p>
      <w:pPr/>
      <w:r>
        <w:t>하자담보책임기간은 준공검사일로부터 6개월로 하며, 오류·장애는 통보 후 24시간 이내 접수, 3일 이내 조치를 원칙으로 한다. 기간 중 월 1회 운영 현황 보고서(접속 통계·장애 조치 내역 포함)를 제출한다(과업지시서 Ⅸ장).</w:t>
      </w:r>
    </w:p>
    <w:p>
      <w:pPr>
        <w:pStyle w:val="Note"/>
      </w:pPr>
      <w:r>
        <w:t>하자보수 범위는 과업지시서 Ⅸ장을 따르며, 신규 기능 추가는 별도 협의 사항으로 구분합니다. 하자담보 기간 종료 이후의 운영·유지관리는 별도 계약으로 제안드립니다.</w:t>
      </w:r>
    </w:p>
    <w:p>
      <w:pPr>
        <w:pStyle w:val="Heading2"/>
      </w:pPr>
      <w:r>
        <w:t>Ⅵ-5. 지속가능성 — 구축 후 방치되지 않는 장치</w:t>
      </w:r>
    </w:p>
    <w:p>
      <w:pPr/>
      <w:r>
        <w:t>e학습터가 2026년 2월 서비스를 종료한 전례는 '구축 이후'가 공공 플랫폼의 진짜 시험대임을 보여줍니다. 본 제안은 방치를 막는 장치를 사업 범위 안에 내장합니다.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fill="1F3A5F"/>
          </w:tcPr>
          <w:p>
            <w:r/>
            <w:r>
              <w:rPr>
                <w:rFonts w:ascii="맑은 고딕" w:hAnsi="맑은 고딕" w:eastAsia="맑은 고딕"/>
                <w:b/>
                <w:color w:val="FFFFFF"/>
                <w:sz w:val="19"/>
              </w:rPr>
              <w:t>방치 원인(전례)</w:t>
            </w:r>
          </w:p>
        </w:tc>
        <w:tc>
          <w:tcPr>
            <w:tcW w:type="dxa" w:w="6265"/>
            <w:shd w:val="clear" w:fill="1F3A5F"/>
          </w:tcPr>
          <w:p>
            <w:r/>
            <w:r>
              <w:rPr>
                <w:rFonts w:ascii="맑은 고딕" w:hAnsi="맑은 고딕" w:eastAsia="맑은 고딕"/>
                <w:b/>
                <w:color w:val="FFFFFF"/>
                <w:sz w:val="19"/>
              </w:rPr>
              <w:t>본 사업의 내장 장치</w:t>
            </w:r>
          </w:p>
        </w:tc>
      </w:tr>
      <w:tr>
        <w:tc>
          <w:tcPr>
            <w:tcW w:type="dxa" w:w="3373"/>
          </w:tcPr>
          <w:p>
            <w:r/>
            <w:r>
              <w:rPr>
                <w:rFonts w:ascii="맑은 고딕" w:hAnsi="맑은 고딕" w:eastAsia="맑은 고딕"/>
                <w:sz w:val="19"/>
              </w:rPr>
              <w:t>콘텐츠가 갱신되지 않음</w:t>
            </w:r>
          </w:p>
        </w:tc>
        <w:tc>
          <w:tcPr>
            <w:tcW w:type="dxa" w:w="6265"/>
          </w:tcPr>
          <w:p>
            <w:r/>
            <w:r>
              <w:rPr>
                <w:rFonts w:ascii="맑은 고딕" w:hAnsi="맑은 고딕" w:eastAsia="맑은 고딕"/>
                <w:sz w:val="19"/>
              </w:rPr>
              <w:t>버전 관리·개정 알림(SFR)과 관리자 등록 워크플로 — 갱신이 기능으로 존재</w:t>
            </w:r>
          </w:p>
        </w:tc>
      </w:tr>
      <w:tr>
        <w:tc>
          <w:tcPr>
            <w:tcW w:type="dxa" w:w="3373"/>
          </w:tcPr>
          <w:p>
            <w:r/>
            <w:r>
              <w:rPr>
                <w:rFonts w:ascii="맑은 고딕" w:hAnsi="맑은 고딕" w:eastAsia="맑은 고딕"/>
                <w:sz w:val="19"/>
              </w:rPr>
              <w:t>이용 실태를 아무도 보지 않음</w:t>
            </w:r>
          </w:p>
        </w:tc>
        <w:tc>
          <w:tcPr>
            <w:tcW w:type="dxa" w:w="6265"/>
          </w:tcPr>
          <w:p>
            <w:r/>
            <w:r>
              <w:rPr>
                <w:rFonts w:ascii="맑은 고딕" w:hAnsi="맑은 고딕" w:eastAsia="맑은 고딕"/>
                <w:sz w:val="19"/>
              </w:rPr>
              <w:t>스킬별 조회·다운로드 통계와 기간별 집계 — 차년도 고도화의 근거 데이터</w:t>
            </w:r>
          </w:p>
        </w:tc>
      </w:tr>
      <w:tr>
        <w:tc>
          <w:tcPr>
            <w:tcW w:type="dxa" w:w="3373"/>
          </w:tcPr>
          <w:p>
            <w:r/>
            <w:r>
              <w:rPr>
                <w:rFonts w:ascii="맑은 고딕" w:hAnsi="맑은 고딕" w:eastAsia="맑은 고딕"/>
                <w:sz w:val="19"/>
              </w:rPr>
              <w:t>운영 주체가 사라짐</w:t>
            </w:r>
          </w:p>
        </w:tc>
        <w:tc>
          <w:tcPr>
            <w:tcW w:type="dxa" w:w="6265"/>
          </w:tcPr>
          <w:p>
            <w:r/>
            <w:r>
              <w:rPr>
                <w:rFonts w:ascii="맑은 고딕" w:hAnsi="맑은 고딕" w:eastAsia="맑은 고딕"/>
                <w:sz w:val="19"/>
              </w:rPr>
              <w:t>하자담보 6개월 + 월간 운영보고로 운영 체계 정착</w:t>
            </w:r>
          </w:p>
        </w:tc>
      </w:tr>
      <w:tr>
        <w:tc>
          <w:tcPr>
            <w:tcW w:type="dxa" w:w="3373"/>
          </w:tcPr>
          <w:p>
            <w:r/>
            <w:r>
              <w:rPr>
                <w:rFonts w:ascii="맑은 고딕" w:hAnsi="맑은 고딕" w:eastAsia="맑은 고딕"/>
                <w:sz w:val="19"/>
              </w:rPr>
              <w:t>요구가 반영될 통로가 없음</w:t>
            </w:r>
          </w:p>
        </w:tc>
        <w:tc>
          <w:tcPr>
            <w:tcW w:type="dxa" w:w="6265"/>
          </w:tcPr>
          <w:p>
            <w:r/>
            <w:r>
              <w:rPr>
                <w:rFonts w:ascii="맑은 고딕" w:hAnsi="맑은 고딕" w:eastAsia="맑은 고딕"/>
                <w:sz w:val="19"/>
              </w:rPr>
              <w:t>후기·평점과 관리자 통계가 요구 수집 채널로 동작</w:t>
            </w:r>
          </w:p>
        </w:tc>
      </w:tr>
    </w:tbl>
    <w:p>
      <w:pPr>
        <w:pStyle w:val="Note"/>
      </w:pPr>
    </w:p>
    <w:p>
      <w:r>
        <w:br w:type="page"/>
      </w:r>
    </w:p>
    <w:p>
      <w:pPr>
        <w:pStyle w:val="Heading1"/>
      </w:pPr>
      <w:r>
        <w:t>Ⅶ. 산출내역서</w:t>
      </w:r>
    </w:p>
    <w:p>
      <w:pPr>
        <w:pStyle w:val="Note"/>
      </w:pPr>
      <w:r>
        <w:t>본 사업은 SW개발 예산 5천만원 미만으로 KOSA 「SW사업 대가산정 가이드」상 기능점수 방식 예외 사업이나, 산출 근거의 객관성을 위해 기능점수(간이법) 방식을 적용했습니다. SW 개발비는 기능점수로, 콘텐츠 제작·연수·직접경비는 성격이 다른 비용이므로 별도 항목으로 분리해 이중계상을 배제했습니다.</w:t>
      </w:r>
    </w:p>
    <w:p>
      <w:pPr>
        <w:pStyle w:val="Heading2"/>
      </w:pPr>
      <w:r>
        <w:t>Ⅶ-1. 총괄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fill="1F3A5F"/>
          </w:tcPr>
          <w:p>
            <w:r/>
            <w:r>
              <w:rPr>
                <w:rFonts w:ascii="맑은 고딕" w:hAnsi="맑은 고딕" w:eastAsia="맑은 고딕"/>
                <w:b/>
                <w:color w:val="FFFFFF"/>
                <w:sz w:val="19"/>
              </w:rPr>
              <w:t>연번</w:t>
            </w:r>
          </w:p>
        </w:tc>
        <w:tc>
          <w:tcPr>
            <w:tcW w:type="dxa" w:w="3988"/>
            <w:shd w:val="clear" w:fill="1F3A5F"/>
          </w:tcPr>
          <w:p>
            <w:r/>
            <w:r>
              <w:rPr>
                <w:rFonts w:ascii="맑은 고딕" w:hAnsi="맑은 고딕" w:eastAsia="맑은 고딕"/>
                <w:b/>
                <w:color w:val="FFFFFF"/>
                <w:sz w:val="19"/>
              </w:rPr>
              <w:t>항목</w:t>
            </w:r>
          </w:p>
        </w:tc>
        <w:tc>
          <w:tcPr>
            <w:tcW w:type="dxa" w:w="3323"/>
            <w:shd w:val="clear" w:fill="1F3A5F"/>
          </w:tcPr>
          <w:p>
            <w:r/>
            <w:r>
              <w:rPr>
                <w:rFonts w:ascii="맑은 고딕" w:hAnsi="맑은 고딕" w:eastAsia="맑은 고딕"/>
                <w:b/>
                <w:color w:val="FFFFFF"/>
                <w:sz w:val="19"/>
              </w:rPr>
              <w:t>산출 근거</w:t>
            </w:r>
          </w:p>
        </w:tc>
        <w:tc>
          <w:tcPr>
            <w:tcW w:type="dxa" w:w="1662"/>
            <w:shd w:val="clear" w:fill="1F3A5F"/>
          </w:tcPr>
          <w:p>
            <w:r/>
            <w:r>
              <w:rPr>
                <w:rFonts w:ascii="맑은 고딕" w:hAnsi="맑은 고딕" w:eastAsia="맑은 고딕"/>
                <w:b/>
                <w:color w:val="FFFFFF"/>
                <w:sz w:val="19"/>
              </w:rPr>
              <w:t>금액(원)</w:t>
            </w:r>
          </w:p>
        </w:tc>
      </w:tr>
      <w:tr>
        <w:tc>
          <w:tcPr>
            <w:tcW w:type="dxa" w:w="665"/>
          </w:tcPr>
          <w:p>
            <w:r/>
            <w:r>
              <w:rPr>
                <w:rFonts w:ascii="맑은 고딕" w:hAnsi="맑은 고딕" w:eastAsia="맑은 고딕"/>
                <w:sz w:val="19"/>
              </w:rPr>
              <w:t>1</w:t>
            </w:r>
          </w:p>
        </w:tc>
        <w:tc>
          <w:tcPr>
            <w:tcW w:type="dxa" w:w="3988"/>
          </w:tcPr>
          <w:p>
            <w:r/>
            <w:r>
              <w:rPr>
                <w:rFonts w:ascii="맑은 고딕" w:hAnsi="맑은 고딕" w:eastAsia="맑은 고딕"/>
                <w:sz w:val="19"/>
              </w:rPr>
              <w:t>포털·아카이브 SW 개발비(기능점수 방식)</w:t>
            </w:r>
          </w:p>
        </w:tc>
        <w:tc>
          <w:tcPr>
            <w:tcW w:type="dxa" w:w="3323"/>
          </w:tcPr>
          <w:p>
            <w:r/>
            <w:r>
              <w:rPr>
                <w:rFonts w:ascii="맑은 고딕" w:hAnsi="맑은 고딕" w:eastAsia="맑은 고딕"/>
                <w:sz w:val="19"/>
              </w:rPr>
              <w:t>26.9 FP × 605,784원 × 보정계수 1.227264</w:t>
            </w:r>
          </w:p>
        </w:tc>
        <w:tc>
          <w:tcPr>
            <w:tcW w:type="dxa" w:w="1662"/>
          </w:tcPr>
          <w:p>
            <w:r/>
            <w:r>
              <w:rPr>
                <w:rFonts w:ascii="맑은 고딕" w:hAnsi="맑은 고딕" w:eastAsia="맑은 고딕"/>
                <w:sz w:val="19"/>
              </w:rPr>
              <w:t>19,998,990</w:t>
            </w:r>
          </w:p>
        </w:tc>
      </w:tr>
      <w:tr>
        <w:tc>
          <w:tcPr>
            <w:tcW w:type="dxa" w:w="665"/>
          </w:tcPr>
          <w:p>
            <w:r/>
            <w:r>
              <w:rPr>
                <w:rFonts w:ascii="맑은 고딕" w:hAnsi="맑은 고딕" w:eastAsia="맑은 고딕"/>
                <w:sz w:val="19"/>
              </w:rPr>
              <w:t>2</w:t>
            </w:r>
          </w:p>
        </w:tc>
        <w:tc>
          <w:tcPr>
            <w:tcW w:type="dxa" w:w="3988"/>
          </w:tcPr>
          <w:p>
            <w:r/>
            <w:r>
              <w:rPr>
                <w:rFonts w:ascii="맑은 고딕" w:hAnsi="맑은 고딕" w:eastAsia="맑은 고딕"/>
                <w:sz w:val="19"/>
              </w:rPr>
              <w:t>교육용 AI 스킬 콘텐츠 제작(기획·제작·상용 AI 2종 검증·교원 3인 검수)</w:t>
            </w:r>
          </w:p>
        </w:tc>
        <w:tc>
          <w:tcPr>
            <w:tcW w:type="dxa" w:w="3323"/>
          </w:tcPr>
          <w:p>
            <w:r/>
            <w:r>
              <w:rPr>
                <w:rFonts w:ascii="맑은 고딕" w:hAnsi="맑은 고딕" w:eastAsia="맑은 고딕"/>
                <w:sz w:val="19"/>
              </w:rPr>
              <w:t>25종 × 350,000원</w:t>
            </w:r>
          </w:p>
        </w:tc>
        <w:tc>
          <w:tcPr>
            <w:tcW w:type="dxa" w:w="1662"/>
          </w:tcPr>
          <w:p>
            <w:r/>
            <w:r>
              <w:rPr>
                <w:rFonts w:ascii="맑은 고딕" w:hAnsi="맑은 고딕" w:eastAsia="맑은 고딕"/>
                <w:sz w:val="19"/>
              </w:rPr>
              <w:t>8,750,000</w:t>
            </w:r>
          </w:p>
        </w:tc>
      </w:tr>
      <w:tr>
        <w:tc>
          <w:tcPr>
            <w:tcW w:type="dxa" w:w="665"/>
          </w:tcPr>
          <w:p>
            <w:r/>
            <w:r>
              <w:rPr>
                <w:rFonts w:ascii="맑은 고딕" w:hAnsi="맑은 고딕" w:eastAsia="맑은 고딕"/>
                <w:sz w:val="19"/>
              </w:rPr>
              <w:t>3</w:t>
            </w:r>
          </w:p>
        </w:tc>
        <w:tc>
          <w:tcPr>
            <w:tcW w:type="dxa" w:w="3988"/>
          </w:tcPr>
          <w:p>
            <w:r/>
            <w:r>
              <w:rPr>
                <w:rFonts w:ascii="맑은 고딕" w:hAnsi="맑은 고딕" w:eastAsia="맑은 고딕"/>
                <w:sz w:val="19"/>
              </w:rPr>
              <w:t>교원 활용 연수 운영(3시간 과정, 교재·만족도 조사 포함)</w:t>
            </w:r>
          </w:p>
        </w:tc>
        <w:tc>
          <w:tcPr>
            <w:tcW w:type="dxa" w:w="3323"/>
          </w:tcPr>
          <w:p>
            <w:r/>
            <w:r>
              <w:rPr>
                <w:rFonts w:ascii="맑은 고딕" w:hAnsi="맑은 고딕" w:eastAsia="맑은 고딕"/>
                <w:sz w:val="19"/>
              </w:rPr>
              <w:t>2회 × 600,000원</w:t>
            </w:r>
          </w:p>
        </w:tc>
        <w:tc>
          <w:tcPr>
            <w:tcW w:type="dxa" w:w="1662"/>
          </w:tcPr>
          <w:p>
            <w:r/>
            <w:r>
              <w:rPr>
                <w:rFonts w:ascii="맑은 고딕" w:hAnsi="맑은 고딕" w:eastAsia="맑은 고딕"/>
                <w:sz w:val="19"/>
              </w:rPr>
              <w:t>1,200,000</w:t>
            </w:r>
          </w:p>
        </w:tc>
      </w:tr>
      <w:tr>
        <w:tc>
          <w:tcPr>
            <w:tcW w:type="dxa" w:w="665"/>
          </w:tcPr>
          <w:p>
            <w:r/>
            <w:r>
              <w:rPr>
                <w:rFonts w:ascii="맑은 고딕" w:hAnsi="맑은 고딕" w:eastAsia="맑은 고딕"/>
                <w:sz w:val="19"/>
              </w:rPr>
              <w:t>4</w:t>
            </w:r>
          </w:p>
        </w:tc>
        <w:tc>
          <w:tcPr>
            <w:tcW w:type="dxa" w:w="3988"/>
          </w:tcPr>
          <w:p>
            <w:r/>
            <w:r>
              <w:rPr>
                <w:rFonts w:ascii="맑은 고딕" w:hAnsi="맑은 고딕" w:eastAsia="맑은 고딕"/>
                <w:sz w:val="19"/>
              </w:rPr>
              <w:t>클라우드 운영환경 이용료(준공 후 12개월, 도메인·SSL·백업 포함)</w:t>
            </w:r>
          </w:p>
        </w:tc>
        <w:tc>
          <w:tcPr>
            <w:tcW w:type="dxa" w:w="3323"/>
          </w:tcPr>
          <w:p>
            <w:r/>
            <w:r>
              <w:rPr>
                <w:rFonts w:ascii="맑은 고딕" w:hAnsi="맑은 고딕" w:eastAsia="맑은 고딕"/>
                <w:sz w:val="19"/>
              </w:rPr>
              <w:t>12월 × 140,000원</w:t>
            </w:r>
          </w:p>
        </w:tc>
        <w:tc>
          <w:tcPr>
            <w:tcW w:type="dxa" w:w="1662"/>
          </w:tcPr>
          <w:p>
            <w:r/>
            <w:r>
              <w:rPr>
                <w:rFonts w:ascii="맑은 고딕" w:hAnsi="맑은 고딕" w:eastAsia="맑은 고딕"/>
                <w:sz w:val="19"/>
              </w:rPr>
              <w:t>1,680,000</w:t>
            </w:r>
          </w:p>
        </w:tc>
      </w:tr>
      <w:tr>
        <w:tc>
          <w:tcPr>
            <w:tcW w:type="dxa" w:w="665"/>
          </w:tcPr>
          <w:p>
            <w:r/>
            <w:r>
              <w:rPr>
                <w:rFonts w:ascii="맑은 고딕" w:hAnsi="맑은 고딕" w:eastAsia="맑은 고딕"/>
                <w:sz w:val="19"/>
              </w:rPr>
              <w:t>5</w:t>
            </w:r>
          </w:p>
        </w:tc>
        <w:tc>
          <w:tcPr>
            <w:tcW w:type="dxa" w:w="3988"/>
          </w:tcPr>
          <w:p>
            <w:r/>
            <w:r>
              <w:rPr>
                <w:rFonts w:ascii="맑은 고딕" w:hAnsi="맑은 고딕" w:eastAsia="맑은 고딕"/>
                <w:sz w:val="19"/>
              </w:rPr>
              <w:t>도메인 등록(1년)</w:t>
            </w:r>
          </w:p>
        </w:tc>
        <w:tc>
          <w:tcPr>
            <w:tcW w:type="dxa" w:w="3323"/>
          </w:tcPr>
          <w:p>
            <w:r/>
            <w:r>
              <w:rPr>
                <w:rFonts w:ascii="맑은 고딕" w:hAnsi="맑은 고딕" w:eastAsia="맑은 고딕"/>
                <w:sz w:val="19"/>
              </w:rPr>
              <w:t>1년 × 50,000원</w:t>
            </w:r>
          </w:p>
        </w:tc>
        <w:tc>
          <w:tcPr>
            <w:tcW w:type="dxa" w:w="1662"/>
          </w:tcPr>
          <w:p>
            <w:r/>
            <w:r>
              <w:rPr>
                <w:rFonts w:ascii="맑은 고딕" w:hAnsi="맑은 고딕" w:eastAsia="맑은 고딕"/>
                <w:sz w:val="19"/>
              </w:rPr>
              <w:t>50,000</w:t>
            </w:r>
          </w:p>
        </w:tc>
      </w:tr>
      <w:tr>
        <w:tc>
          <w:tcPr>
            <w:tcW w:type="dxa" w:w="665"/>
          </w:tcPr>
          <w:p>
            <w:r/>
            <w:r>
              <w:rPr>
                <w:rFonts w:ascii="맑은 고딕" w:hAnsi="맑은 고딕" w:eastAsia="맑은 고딕"/>
                <w:sz w:val="19"/>
              </w:rPr>
              <w:t>6</w:t>
            </w:r>
          </w:p>
        </w:tc>
        <w:tc>
          <w:tcPr>
            <w:tcW w:type="dxa" w:w="3988"/>
          </w:tcPr>
          <w:p>
            <w:r/>
            <w:r>
              <w:rPr>
                <w:rFonts w:ascii="맑은 고딕" w:hAnsi="맑은 고딕" w:eastAsia="맑은 고딕"/>
                <w:sz w:val="19"/>
              </w:rPr>
              <w:t>매뉴얼·교재·보고서 인쇄</w:t>
            </w:r>
          </w:p>
        </w:tc>
        <w:tc>
          <w:tcPr>
            <w:tcW w:type="dxa" w:w="3323"/>
          </w:tcPr>
          <w:p>
            <w:r/>
            <w:r>
              <w:rPr>
                <w:rFonts w:ascii="맑은 고딕" w:hAnsi="맑은 고딕" w:eastAsia="맑은 고딕"/>
                <w:sz w:val="19"/>
              </w:rPr>
              <w:t>6부 × 30,000원</w:t>
            </w:r>
          </w:p>
        </w:tc>
        <w:tc>
          <w:tcPr>
            <w:tcW w:type="dxa" w:w="1662"/>
          </w:tcPr>
          <w:p>
            <w:r/>
            <w:r>
              <w:rPr>
                <w:rFonts w:ascii="맑은 고딕" w:hAnsi="맑은 고딕" w:eastAsia="맑은 고딕"/>
                <w:sz w:val="19"/>
              </w:rPr>
              <w:t>180,000</w:t>
            </w:r>
          </w:p>
        </w:tc>
      </w:tr>
      <w:tr>
        <w:tc>
          <w:tcPr>
            <w:tcW w:type="dxa" w:w="665"/>
          </w:tcPr>
          <w:p>
            <w:r/>
            <w:r>
              <w:rPr>
                <w:rFonts w:ascii="맑은 고딕" w:hAnsi="맑은 고딕" w:eastAsia="맑은 고딕"/>
                <w:sz w:val="19"/>
              </w:rPr>
              <w:t>7</w:t>
            </w:r>
          </w:p>
        </w:tc>
        <w:tc>
          <w:tcPr>
            <w:tcW w:type="dxa" w:w="3988"/>
          </w:tcPr>
          <w:p>
            <w:r/>
            <w:r>
              <w:rPr>
                <w:rFonts w:ascii="맑은 고딕" w:hAnsi="맑은 고딕" w:eastAsia="맑은 고딕"/>
                <w:sz w:val="19"/>
              </w:rPr>
              <w:t>이윤 (개발원가의 5.71% — 법정 한도 25% 이내)</w:t>
            </w:r>
          </w:p>
        </w:tc>
        <w:tc>
          <w:tcPr>
            <w:tcW w:type="dxa" w:w="3323"/>
          </w:tcPr>
          <w:p>
            <w:r/>
            <w:r>
              <w:rPr>
                <w:rFonts w:ascii="맑은 고딕" w:hAnsi="맑은 고딕" w:eastAsia="맑은 고딕"/>
                <w:sz w:val="19"/>
              </w:rPr>
              <w:t>잔여 배분</w:t>
            </w:r>
          </w:p>
        </w:tc>
        <w:tc>
          <w:tcPr>
            <w:tcW w:type="dxa" w:w="1662"/>
          </w:tcPr>
          <w:p>
            <w:r/>
            <w:r>
              <w:rPr>
                <w:rFonts w:ascii="맑은 고딕" w:hAnsi="맑은 고딕" w:eastAsia="맑은 고딕"/>
                <w:sz w:val="19"/>
              </w:rPr>
              <w:t>1,141,010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공급가액 합계</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부가가치세 (10%)</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3,300,000</w:t>
            </w:r>
          </w:p>
        </w:tc>
      </w:tr>
      <w:tr>
        <w:tc>
          <w:tcPr>
            <w:tcW w:type="dxa" w:w="665"/>
          </w:tcPr>
          <w:p>
            <w:r/>
            <w:r>
              <w:rPr>
                <w:rFonts w:ascii="맑은 고딕" w:hAnsi="맑은 고딕" w:eastAsia="맑은 고딕"/>
                <w:sz w:val="19"/>
              </w:rPr>
            </w:r>
          </w:p>
        </w:tc>
        <w:tc>
          <w:tcPr>
            <w:tcW w:type="dxa" w:w="3988"/>
          </w:tcPr>
          <w:p>
            <w:r/>
            <w:r>
              <w:rPr>
                <w:rFonts w:ascii="맑은 고딕" w:hAnsi="맑은 고딕" w:eastAsia="맑은 고딕"/>
                <w:sz w:val="19"/>
              </w:rPr>
              <w:t>총 계약금액 (부가세 포함)</w:t>
            </w:r>
          </w:p>
        </w:tc>
        <w:tc>
          <w:tcPr>
            <w:tcW w:type="dxa" w:w="3323"/>
          </w:tcPr>
          <w:p>
            <w:r/>
            <w:r>
              <w:rPr>
                <w:rFonts w:ascii="맑은 고딕" w:hAnsi="맑은 고딕" w:eastAsia="맑은 고딕"/>
                <w:sz w:val="19"/>
              </w:rPr>
            </w:r>
          </w:p>
        </w:tc>
        <w:tc>
          <w:tcPr>
            <w:tcW w:type="dxa" w:w="1662"/>
          </w:tcPr>
          <w:p>
            <w:r/>
            <w:r>
              <w:rPr>
                <w:rFonts w:ascii="맑은 고딕" w:hAnsi="맑은 고딕" w:eastAsia="맑은 고딕"/>
                <w:sz w:val="19"/>
              </w:rPr>
              <w:t>36,300,000</w:t>
            </w:r>
          </w:p>
        </w:tc>
      </w:tr>
    </w:tbl>
    <w:p>
      <w:pPr>
        <w:pStyle w:val="Note"/>
      </w:pPr>
    </w:p>
    <w:p>
      <w:pPr/>
      <w:r>
        <w:t>총 계약금액 36,300,000원은 발주 예산과 일치하며, 항목 합계는 자동 검산을 거쳤습니다. 이윤율은 법정 한도(개발원가의 25%, 국가계약법 시행규칙 제8조) 대비 5.7%만 적용해 예산을 기능과 콘텐츠에 배분했습니다.</w:t>
      </w:r>
    </w:p>
    <w:p>
      <w:pPr>
        <w:pStyle w:val="Heading2"/>
      </w:pPr>
      <w:r>
        <w:t>Ⅶ-2. 기능점수 산정 내역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570"/>
            <w:shd w:val="clear" w:fill="1F3A5F"/>
          </w:tcPr>
          <w:p>
            <w:r/>
            <w:r>
              <w:rPr>
                <w:rFonts w:ascii="맑은 고딕" w:hAnsi="맑은 고딕" w:eastAsia="맑은 고딕"/>
                <w:b/>
                <w:color w:val="FFFFFF"/>
                <w:sz w:val="19"/>
              </w:rPr>
              <w:t>기능 모듈</w:t>
            </w:r>
          </w:p>
        </w:tc>
        <w:tc>
          <w:tcPr>
            <w:tcW w:type="dxa" w:w="4755"/>
            <w:shd w:val="clear" w:fill="1F3A5F"/>
          </w:tcPr>
          <w:p>
            <w:r/>
            <w:r>
              <w:rPr>
                <w:rFonts w:ascii="맑은 고딕" w:hAnsi="맑은 고딕" w:eastAsia="맑은 고딕"/>
                <w:b/>
                <w:color w:val="FFFFFF"/>
                <w:sz w:val="19"/>
              </w:rPr>
              <w:t>단위프로세스</w:t>
            </w:r>
          </w:p>
        </w:tc>
        <w:tc>
          <w:tcPr>
            <w:tcW w:type="dxa" w:w="1157"/>
            <w:shd w:val="clear" w:fill="1F3A5F"/>
          </w:tcPr>
          <w:p>
            <w:r/>
            <w:r>
              <w:rPr>
                <w:rFonts w:ascii="맑은 고딕" w:hAnsi="맑은 고딕" w:eastAsia="맑은 고딕"/>
                <w:b/>
                <w:color w:val="FFFFFF"/>
                <w:sz w:val="19"/>
              </w:rPr>
              <w:t>유형</w:t>
            </w:r>
          </w:p>
        </w:tc>
        <w:tc>
          <w:tcPr>
            <w:tcW w:type="dxa" w:w="1157"/>
            <w:shd w:val="clear" w:fill="1F3A5F"/>
          </w:tcPr>
          <w:p>
            <w:r/>
            <w:r>
              <w:rPr>
                <w:rFonts w:ascii="맑은 고딕" w:hAnsi="맑은 고딕" w:eastAsia="맑은 고딕"/>
                <w:b/>
                <w:color w:val="FFFFFF"/>
                <w:sz w:val="19"/>
              </w:rPr>
              <w:t>FP</w:t>
            </w:r>
          </w:p>
        </w:tc>
      </w:tr>
      <w:tr>
        <w:tc>
          <w:tcPr>
            <w:tcW w:type="dxa" w:w="2570"/>
          </w:tcPr>
          <w:p>
            <w:r/>
            <w:r>
              <w:rPr>
                <w:rFonts w:ascii="맑은 고딕" w:hAnsi="맑은 고딕" w:eastAsia="맑은 고딕"/>
                <w:sz w:val="19"/>
              </w:rPr>
              <w:t>스킬 코어(4축 분류)</w:t>
            </w:r>
          </w:p>
        </w:tc>
        <w:tc>
          <w:tcPr>
            <w:tcW w:type="dxa" w:w="4755"/>
          </w:tcPr>
          <w:p>
            <w:r/>
            <w:r>
              <w:rPr>
                <w:rFonts w:ascii="맑은 고딕" w:hAnsi="맑은 고딕" w:eastAsia="맑은 고딕"/>
                <w:sz w:val="19"/>
              </w:rPr>
              <w:t>스킬 원장(학교급·교과·업무유형·활용도구, 컬렉션)</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콘텐츠 관리(관리자)</w:t>
            </w:r>
          </w:p>
        </w:tc>
        <w:tc>
          <w:tcPr>
            <w:tcW w:type="dxa" w:w="4755"/>
          </w:tcPr>
          <w:p>
            <w:r/>
            <w:r>
              <w:rPr>
                <w:rFonts w:ascii="맑은 고딕" w:hAnsi="맑은 고딕" w:eastAsia="맑은 고딕"/>
                <w:sz w:val="19"/>
              </w:rPr>
              <w:t>스킬 등록·게시전환·일괄등록(CSV)</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스킬 탐색(이용자)</w:t>
            </w:r>
          </w:p>
        </w:tc>
        <w:tc>
          <w:tcPr>
            <w:tcW w:type="dxa" w:w="4755"/>
          </w:tcPr>
          <w:p>
            <w:r/>
            <w:r>
              <w:rPr>
                <w:rFonts w:ascii="맑은 고딕" w:hAnsi="맑은 고딕" w:eastAsia="맑은 고딕"/>
                <w:sz w:val="19"/>
              </w:rPr>
              <w:t>통합 검색·다중 필터·상세·README 미리보기</w:t>
            </w:r>
          </w:p>
        </w:tc>
        <w:tc>
          <w:tcPr>
            <w:tcW w:type="dxa" w:w="1157"/>
          </w:tcPr>
          <w:p>
            <w:r/>
            <w:r>
              <w:rPr>
                <w:rFonts w:ascii="맑은 고딕" w:hAnsi="맑은 고딕" w:eastAsia="맑은 고딕"/>
                <w:sz w:val="19"/>
              </w:rPr>
              <w:t>EQ</w:t>
            </w:r>
          </w:p>
        </w:tc>
        <w:tc>
          <w:tcPr>
            <w:tcW w:type="dxa" w:w="1157"/>
          </w:tcPr>
          <w:p>
            <w:r/>
            <w:r>
              <w:rPr>
                <w:rFonts w:ascii="맑은 고딕" w:hAnsi="맑은 고딕" w:eastAsia="맑은 고딕"/>
                <w:sz w:val="19"/>
              </w:rPr>
              <w:t>3.9</w:t>
            </w:r>
          </w:p>
        </w:tc>
      </w:tr>
      <w:tr>
        <w:tc>
          <w:tcPr>
            <w:tcW w:type="dxa" w:w="2570"/>
          </w:tcPr>
          <w:p>
            <w:r/>
            <w:r>
              <w:rPr>
                <w:rFonts w:ascii="맑은 고딕" w:hAnsi="맑은 고딕" w:eastAsia="맑은 고딕"/>
                <w:sz w:val="19"/>
              </w:rPr>
              <w:t>회원·권한</w:t>
            </w:r>
          </w:p>
        </w:tc>
        <w:tc>
          <w:tcPr>
            <w:tcW w:type="dxa" w:w="4755"/>
          </w:tcPr>
          <w:p>
            <w:r/>
            <w:r>
              <w:rPr>
                <w:rFonts w:ascii="맑은 고딕" w:hAnsi="맑은 고딕" w:eastAsia="맑은 고딕"/>
                <w:sz w:val="19"/>
              </w:rPr>
              <w:t>회원 원장(교원·관리자, 소속 학교급)</w:t>
            </w:r>
          </w:p>
        </w:tc>
        <w:tc>
          <w:tcPr>
            <w:tcW w:type="dxa" w:w="1157"/>
          </w:tcPr>
          <w:p>
            <w:r/>
            <w:r>
              <w:rPr>
                <w:rFonts w:ascii="맑은 고딕" w:hAnsi="맑은 고딕" w:eastAsia="맑은 고딕"/>
                <w:sz w:val="19"/>
              </w:rPr>
              <w:t>ILF</w:t>
            </w:r>
          </w:p>
        </w:tc>
        <w:tc>
          <w:tcPr>
            <w:tcW w:type="dxa" w:w="1157"/>
          </w:tcPr>
          <w:p>
            <w:r/>
            <w:r>
              <w:rPr>
                <w:rFonts w:ascii="맑은 고딕" w:hAnsi="맑은 고딕" w:eastAsia="맑은 고딕"/>
                <w:sz w:val="19"/>
              </w:rPr>
              <w:t>7.5</w:t>
            </w:r>
          </w:p>
        </w:tc>
      </w:tr>
      <w:tr>
        <w:tc>
          <w:tcPr>
            <w:tcW w:type="dxa" w:w="2570"/>
          </w:tcPr>
          <w:p>
            <w:r/>
            <w:r>
              <w:rPr>
                <w:rFonts w:ascii="맑은 고딕" w:hAnsi="맑은 고딕" w:eastAsia="맑은 고딕"/>
                <w:sz w:val="19"/>
              </w:rPr>
              <w:t>참여·이력</w:t>
            </w:r>
          </w:p>
        </w:tc>
        <w:tc>
          <w:tcPr>
            <w:tcW w:type="dxa" w:w="4755"/>
          </w:tcPr>
          <w:p>
            <w:r/>
            <w:r>
              <w:rPr>
                <w:rFonts w:ascii="맑은 고딕" w:hAnsi="맑은 고딕" w:eastAsia="맑은 고딕"/>
                <w:sz w:val="19"/>
              </w:rPr>
              <w:t>평점·후기·즐겨찾기·버전 이력 등록</w:t>
            </w:r>
          </w:p>
        </w:tc>
        <w:tc>
          <w:tcPr>
            <w:tcW w:type="dxa" w:w="1157"/>
          </w:tcPr>
          <w:p>
            <w:r/>
            <w:r>
              <w:rPr>
                <w:rFonts w:ascii="맑은 고딕" w:hAnsi="맑은 고딕" w:eastAsia="맑은 고딕"/>
                <w:sz w:val="19"/>
              </w:rPr>
              <w:t>EI</w:t>
            </w:r>
          </w:p>
        </w:tc>
        <w:tc>
          <w:tcPr>
            <w:tcW w:type="dxa" w:w="1157"/>
          </w:tcPr>
          <w:p>
            <w:r/>
            <w:r>
              <w:rPr>
                <w:rFonts w:ascii="맑은 고딕" w:hAnsi="맑은 고딕" w:eastAsia="맑은 고딕"/>
                <w:sz w:val="19"/>
              </w:rPr>
              <w:t>4.0</w:t>
            </w:r>
          </w:p>
        </w:tc>
      </w:tr>
      <w:tr>
        <w:tc>
          <w:tcPr>
            <w:tcW w:type="dxa" w:w="2570"/>
          </w:tcPr>
          <w:p>
            <w:r/>
            <w:r>
              <w:rPr>
                <w:rFonts w:ascii="맑은 고딕" w:hAnsi="맑은 고딕" w:eastAsia="맑은 고딕"/>
                <w:sz w:val="19"/>
              </w:rPr>
              <w:t>합계</w:t>
            </w:r>
          </w:p>
        </w:tc>
        <w:tc>
          <w:tcPr>
            <w:tcW w:type="dxa" w:w="4755"/>
          </w:tcPr>
          <w:p>
            <w:r/>
            <w:r>
              <w:rPr>
                <w:rFonts w:ascii="맑은 고딕" w:hAnsi="맑은 고딕" w:eastAsia="맑은 고딕"/>
                <w:sz w:val="19"/>
              </w:rPr>
            </w:r>
          </w:p>
        </w:tc>
        <w:tc>
          <w:tcPr>
            <w:tcW w:type="dxa" w:w="1157"/>
          </w:tcPr>
          <w:p>
            <w:r/>
            <w:r>
              <w:rPr>
                <w:rFonts w:ascii="맑은 고딕" w:hAnsi="맑은 고딕" w:eastAsia="맑은 고딕"/>
                <w:sz w:val="19"/>
              </w:rPr>
            </w:r>
          </w:p>
        </w:tc>
        <w:tc>
          <w:tcPr>
            <w:tcW w:type="dxa" w:w="1157"/>
          </w:tcPr>
          <w:p>
            <w:r/>
            <w:r>
              <w:rPr>
                <w:rFonts w:ascii="맑은 고딕" w:hAnsi="맑은 고딕" w:eastAsia="맑은 고딕"/>
                <w:sz w:val="19"/>
              </w:rPr>
              <w:t>26.9</w:t>
            </w:r>
          </w:p>
        </w:tc>
      </w:tr>
    </w:tbl>
    <w:p>
      <w:pPr>
        <w:pStyle w:val="Note"/>
      </w:pPr>
    </w:p>
    <w:p>
      <w:pPr/>
      <w:r>
        <w:t>간이법 고정 가중치(ILF 7.5 / EIF 5.4 / EI 4.0 / EO 5.2 / EQ 3.9)를 적용했습니다. 목록·상세 등 공통 화면 다수는 자사 기보유 CMS 코어를 재사용해 신규 개발분만 계상했습니다 — 안 간 가격 차이가 곧 기능 차이가 되도록 산정한 구조입니다.</w:t>
      </w:r>
    </w:p>
    <w:p>
      <w:pPr>
        <w:pStyle w:val="Heading2"/>
      </w:pPr>
      <w:r>
        <w:t>Ⅶ-3. 보정계수 적용 근거</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fill="1F3A5F"/>
          </w:tcPr>
          <w:p>
            <w:r/>
            <w:r>
              <w:rPr>
                <w:rFonts w:ascii="맑은 고딕" w:hAnsi="맑은 고딕" w:eastAsia="맑은 고딕"/>
                <w:b/>
                <w:color w:val="FFFFFF"/>
                <w:sz w:val="19"/>
              </w:rPr>
              <w:t>보정계수</w:t>
            </w:r>
          </w:p>
        </w:tc>
        <w:tc>
          <w:tcPr>
            <w:tcW w:type="dxa" w:w="952"/>
            <w:shd w:val="clear" w:fill="1F3A5F"/>
          </w:tcPr>
          <w:p>
            <w:r/>
            <w:r>
              <w:rPr>
                <w:rFonts w:ascii="맑은 고딕" w:hAnsi="맑은 고딕" w:eastAsia="맑은 고딕"/>
                <w:b/>
                <w:color w:val="FFFFFF"/>
                <w:sz w:val="19"/>
              </w:rPr>
              <w:t>값</w:t>
            </w:r>
          </w:p>
        </w:tc>
        <w:tc>
          <w:tcPr>
            <w:tcW w:type="dxa" w:w="6544"/>
            <w:shd w:val="clear" w:fill="1F3A5F"/>
          </w:tcPr>
          <w:p>
            <w:r/>
            <w:r>
              <w:rPr>
                <w:rFonts w:ascii="맑은 고딕" w:hAnsi="맑은 고딕" w:eastAsia="맑은 고딕"/>
                <w:b/>
                <w:color w:val="FFFFFF"/>
                <w:sz w:val="19"/>
              </w:rPr>
              <w:t>선택 사유(요구사항 근거)</w:t>
            </w:r>
          </w:p>
        </w:tc>
      </w:tr>
      <w:tr>
        <w:tc>
          <w:tcPr>
            <w:tcW w:type="dxa" w:w="2142"/>
          </w:tcPr>
          <w:p>
            <w:r/>
            <w:r>
              <w:rPr>
                <w:rFonts w:ascii="맑은 고딕" w:hAnsi="맑은 고딕" w:eastAsia="맑은 고딕"/>
                <w:sz w:val="19"/>
              </w:rPr>
              <w:t>규모</w:t>
            </w:r>
          </w:p>
        </w:tc>
        <w:tc>
          <w:tcPr>
            <w:tcW w:type="dxa" w:w="952"/>
          </w:tcPr>
          <w:p>
            <w:r/>
            <w:r>
              <w:rPr>
                <w:rFonts w:ascii="맑은 고딕" w:hAnsi="맑은 고딕" w:eastAsia="맑은 고딕"/>
                <w:sz w:val="19"/>
              </w:rPr>
              <w:t>1.28</w:t>
            </w:r>
          </w:p>
        </w:tc>
        <w:tc>
          <w:tcPr>
            <w:tcW w:type="dxa" w:w="6544"/>
          </w:tcPr>
          <w:p>
            <w:r/>
            <w:r>
              <w:rPr>
                <w:rFonts w:ascii="맑은 고딕" w:hAnsi="맑은 고딕" w:eastAsia="맑은 고딕"/>
                <w:sz w:val="19"/>
              </w:rPr>
              <w:t>총 FP 500 미만 — 가이드 고정값</w:t>
            </w:r>
          </w:p>
        </w:tc>
      </w:tr>
      <w:tr>
        <w:tc>
          <w:tcPr>
            <w:tcW w:type="dxa" w:w="2142"/>
          </w:tcPr>
          <w:p>
            <w:r/>
            <w:r>
              <w:rPr>
                <w:rFonts w:ascii="맑은 고딕" w:hAnsi="맑은 고딕" w:eastAsia="맑은 고딕"/>
                <w:sz w:val="19"/>
              </w:rPr>
              <w:t>연계복잡성</w:t>
            </w:r>
          </w:p>
        </w:tc>
        <w:tc>
          <w:tcPr>
            <w:tcW w:type="dxa" w:w="952"/>
          </w:tcPr>
          <w:p>
            <w:r/>
            <w:r>
              <w:rPr>
                <w:rFonts w:ascii="맑은 고딕" w:hAnsi="맑은 고딕" w:eastAsia="맑은 고딕"/>
                <w:sz w:val="19"/>
              </w:rPr>
              <w:t>0.94</w:t>
            </w:r>
          </w:p>
        </w:tc>
        <w:tc>
          <w:tcPr>
            <w:tcW w:type="dxa" w:w="6544"/>
          </w:tcPr>
          <w:p>
            <w:r/>
            <w:r>
              <w:rPr>
                <w:rFonts w:ascii="맑은 고딕" w:hAnsi="맑은 고딕" w:eastAsia="맑은 고딕"/>
                <w:sz w:val="19"/>
              </w:rPr>
              <w:t>지정 인증수단 연동 외 외부 연계 없음(SFR-005)</w:t>
            </w:r>
          </w:p>
        </w:tc>
      </w:tr>
      <w:tr>
        <w:tc>
          <w:tcPr>
            <w:tcW w:type="dxa" w:w="2142"/>
          </w:tcPr>
          <w:p>
            <w:r/>
            <w:r>
              <w:rPr>
                <w:rFonts w:ascii="맑은 고딕" w:hAnsi="맑은 고딕" w:eastAsia="맑은 고딕"/>
                <w:sz w:val="19"/>
              </w:rPr>
              <w:t>성능</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다중 조건 필터·통계 리포트 상시 조회(SFR-003, SFR-012)</w:t>
            </w:r>
          </w:p>
        </w:tc>
      </w:tr>
      <w:tr>
        <w:tc>
          <w:tcPr>
            <w:tcW w:type="dxa" w:w="2142"/>
          </w:tcPr>
          <w:p>
            <w:r/>
            <w:r>
              <w:rPr>
                <w:rFonts w:ascii="맑은 고딕" w:hAnsi="맑은 고딕" w:eastAsia="맑은 고딕"/>
                <w:sz w:val="19"/>
              </w:rPr>
              <w:t>운영환경 호환성</w:t>
            </w:r>
          </w:p>
        </w:tc>
        <w:tc>
          <w:tcPr>
            <w:tcW w:type="dxa" w:w="952"/>
          </w:tcPr>
          <w:p>
            <w:r/>
            <w:r>
              <w:rPr>
                <w:rFonts w:ascii="맑은 고딕" w:hAnsi="맑은 고딕" w:eastAsia="맑은 고딕"/>
                <w:sz w:val="19"/>
              </w:rPr>
              <w:t>1.00</w:t>
            </w:r>
          </w:p>
        </w:tc>
        <w:tc>
          <w:tcPr>
            <w:tcW w:type="dxa" w:w="6544"/>
          </w:tcPr>
          <w:p>
            <w:r/>
            <w:r>
              <w:rPr>
                <w:rFonts w:ascii="맑은 고딕" w:hAnsi="맑은 고딕" w:eastAsia="맑은 고딕"/>
                <w:sz w:val="19"/>
              </w:rPr>
              <w:t>표준 반응형 웹, 3종 브라우저(QUR-002)</w:t>
            </w:r>
          </w:p>
        </w:tc>
      </w:tr>
      <w:tr>
        <w:tc>
          <w:tcPr>
            <w:tcW w:type="dxa" w:w="2142"/>
          </w:tcPr>
          <w:p>
            <w:r/>
            <w:r>
              <w:rPr>
                <w:rFonts w:ascii="맑은 고딕" w:hAnsi="맑은 고딕" w:eastAsia="맑은 고딕"/>
                <w:sz w:val="19"/>
              </w:rPr>
              <w:t>보안성</w:t>
            </w:r>
          </w:p>
        </w:tc>
        <w:tc>
          <w:tcPr>
            <w:tcW w:type="dxa" w:w="952"/>
          </w:tcPr>
          <w:p>
            <w:r/>
            <w:r>
              <w:rPr>
                <w:rFonts w:ascii="맑은 고딕" w:hAnsi="맑은 고딕" w:eastAsia="맑은 고딕"/>
                <w:sz w:val="19"/>
              </w:rPr>
              <w:t>1.02</w:t>
            </w:r>
          </w:p>
        </w:tc>
        <w:tc>
          <w:tcPr>
            <w:tcW w:type="dxa" w:w="6544"/>
          </w:tcPr>
          <w:p>
            <w:r/>
            <w:r>
              <w:rPr>
                <w:rFonts w:ascii="맑은 고딕" w:hAnsi="맑은 고딕" w:eastAsia="맑은 고딕"/>
                <w:sz w:val="19"/>
              </w:rPr>
              <w:t>개인정보 암호화 저장·처리방침·동의절차 구현(SER-002)</w:t>
            </w:r>
          </w:p>
        </w:tc>
      </w:tr>
    </w:tbl>
    <w:p>
      <w:pPr>
        <w:pStyle w:val="Note"/>
      </w:pPr>
    </w:p>
    <w:p>
      <w:r>
        <w:br w:type="page"/>
      </w:r>
    </w:p>
    <w:p>
      <w:pPr>
        <w:pStyle w:val="Heading1"/>
      </w:pPr>
      <w:r>
        <w:t>부록</w:t>
      </w:r>
    </w:p>
    <w:p>
      <w:pPr>
        <w:pStyle w:val="Heading2"/>
      </w:pPr>
      <w:r>
        <w:t>부록 1. 기능점수 산정 근거 시트</w:t>
      </w:r>
    </w:p>
    <w:p>
      <w:pPr/>
      <w:r>
        <w:t>발주기관이 감사 대응 시 그대로 활용하도록 단위프로세스 식별 기준을 요약합니다. 등록·수정·삭제·조회는 각각 별도 단위프로세스로 식별하되, 로그데이터·임시파일·단순 형태변환은 산정에서 제외했습니다(KOSA 가이드 간이법 기준).</w:t>
      </w:r>
    </w:p>
    <w:p>
      <w:pPr>
        <w:pStyle w:val="Heading2"/>
      </w:pPr>
      <w:r>
        <w:t>부록 2. 약어·용어</w:t>
      </w:r>
    </w:p>
    <w:tbl>
      <w:tblPr>
        <w:tblStyle w:val="TableGrid"/>
        <w:tblW w:type="auto" w:w="0"/>
        <w:jc w:val="center"/>
        <w:tblLook w:firstColumn="1" w:firstRow="1" w:lastColumn="0" w:lastRow="0" w:noHBand="0" w:noVBand="1" w:val="04A0"/>
      </w:tblPr>
      <w:tblGrid>
        <w:gridCol w:w="4819"/>
        <w:gridCol w:w="4819"/>
      </w:tblGrid>
      <w:tr>
        <w:tc>
          <w:tcPr>
            <w:tcW w:type="dxa" w:w="2169"/>
            <w:shd w:val="clear" w:fill="1F3A5F"/>
          </w:tcPr>
          <w:p>
            <w:r/>
            <w:r>
              <w:rPr>
                <w:rFonts w:ascii="맑은 고딕" w:hAnsi="맑은 고딕" w:eastAsia="맑은 고딕"/>
                <w:b/>
                <w:color w:val="FFFFFF"/>
                <w:sz w:val="19"/>
              </w:rPr>
              <w:t>용어</w:t>
            </w:r>
          </w:p>
        </w:tc>
        <w:tc>
          <w:tcPr>
            <w:tcW w:type="dxa" w:w="7469"/>
            <w:shd w:val="clear" w:fill="1F3A5F"/>
          </w:tcPr>
          <w:p>
            <w:r/>
            <w:r>
              <w:rPr>
                <w:rFonts w:ascii="맑은 고딕" w:hAnsi="맑은 고딕" w:eastAsia="맑은 고딕"/>
                <w:b/>
                <w:color w:val="FFFFFF"/>
                <w:sz w:val="19"/>
              </w:rPr>
              <w:t>설명</w:t>
            </w:r>
          </w:p>
        </w:tc>
      </w:tr>
      <w:tr>
        <w:tc>
          <w:tcPr>
            <w:tcW w:type="dxa" w:w="2169"/>
          </w:tcPr>
          <w:p>
            <w:r/>
            <w:r>
              <w:rPr>
                <w:rFonts w:ascii="맑은 고딕" w:hAnsi="맑은 고딕" w:eastAsia="맑은 고딕"/>
                <w:sz w:val="19"/>
              </w:rPr>
              <w:t>교육용 AI 스킬</w:t>
            </w:r>
          </w:p>
        </w:tc>
        <w:tc>
          <w:tcPr>
            <w:tcW w:type="dxa" w:w="7469"/>
          </w:tcPr>
          <w:p>
            <w:r/>
            <w:r>
              <w:rPr>
                <w:rFonts w:ascii="맑은 고딕" w:hAnsi="맑은 고딕" w:eastAsia="맑은 고딕"/>
                <w:sz w:val="19"/>
              </w:rPr>
              <w:t>생성형 AI를 교수·학습과 교육행정에 활용하기 위한 프롬프트·사용 절차·예시의 표준화된 묶음</w:t>
            </w:r>
          </w:p>
        </w:tc>
      </w:tr>
      <w:tr>
        <w:tc>
          <w:tcPr>
            <w:tcW w:type="dxa" w:w="2169"/>
          </w:tcPr>
          <w:p>
            <w:r/>
            <w:r>
              <w:rPr>
                <w:rFonts w:ascii="맑은 고딕" w:hAnsi="맑은 고딕" w:eastAsia="맑은 고딕"/>
                <w:sz w:val="19"/>
              </w:rPr>
              <w:t>FP(기능점수)</w:t>
            </w:r>
          </w:p>
        </w:tc>
        <w:tc>
          <w:tcPr>
            <w:tcW w:type="dxa" w:w="7469"/>
          </w:tcPr>
          <w:p>
            <w:r/>
            <w:r>
              <w:rPr>
                <w:rFonts w:ascii="맑은 고딕" w:hAnsi="맑은 고딕" w:eastAsia="맑은 고딕"/>
                <w:sz w:val="19"/>
              </w:rPr>
              <w:t>SW 기능 규모의 측정 단위 — KOSA SW사업 대가산정 가이드 기준</w:t>
            </w:r>
          </w:p>
        </w:tc>
      </w:tr>
      <w:tr>
        <w:tc>
          <w:tcPr>
            <w:tcW w:type="dxa" w:w="2169"/>
          </w:tcPr>
          <w:p>
            <w:r/>
            <w:r>
              <w:rPr>
                <w:rFonts w:ascii="맑은 고딕" w:hAnsi="맑은 고딕" w:eastAsia="맑은 고딕"/>
                <w:sz w:val="19"/>
              </w:rPr>
              <w:t>KWCAG</w:t>
            </w:r>
          </w:p>
        </w:tc>
        <w:tc>
          <w:tcPr>
            <w:tcW w:type="dxa" w:w="7469"/>
          </w:tcPr>
          <w:p>
            <w:r/>
            <w:r>
              <w:rPr>
                <w:rFonts w:ascii="맑은 고딕" w:hAnsi="맑은 고딕" w:eastAsia="맑은 고딕"/>
                <w:sz w:val="19"/>
              </w:rPr>
              <w:t>한국형 웹 콘텐츠 접근성 지침</w:t>
            </w:r>
          </w:p>
        </w:tc>
      </w:tr>
      <w:tr>
        <w:tc>
          <w:tcPr>
            <w:tcW w:type="dxa" w:w="2169"/>
          </w:tcPr>
          <w:p>
            <w:r/>
            <w:r>
              <w:rPr>
                <w:rFonts w:ascii="맑은 고딕" w:hAnsi="맑은 고딕" w:eastAsia="맑은 고딕"/>
                <w:sz w:val="19"/>
              </w:rPr>
              <w:t>CSAP</w:t>
            </w:r>
          </w:p>
        </w:tc>
        <w:tc>
          <w:tcPr>
            <w:tcW w:type="dxa" w:w="7469"/>
          </w:tcPr>
          <w:p>
            <w:r/>
            <w:r>
              <w:rPr>
                <w:rFonts w:ascii="맑은 고딕" w:hAnsi="맑은 고딕" w:eastAsia="맑은 고딕"/>
                <w:sz w:val="19"/>
              </w:rPr>
              <w:t>클라우드컴퓨팅서비스 보안인증</w:t>
            </w:r>
          </w:p>
        </w:tc>
      </w:tr>
      <w:tr>
        <w:tc>
          <w:tcPr>
            <w:tcW w:type="dxa" w:w="2169"/>
          </w:tcPr>
          <w:p>
            <w:r/>
            <w:r>
              <w:rPr>
                <w:rFonts w:ascii="맑은 고딕" w:hAnsi="맑은 고딕" w:eastAsia="맑은 고딕"/>
                <w:sz w:val="19"/>
              </w:rPr>
              <w:t>WBS</w:t>
            </w:r>
          </w:p>
        </w:tc>
        <w:tc>
          <w:tcPr>
            <w:tcW w:type="dxa" w:w="7469"/>
          </w:tcPr>
          <w:p>
            <w:r/>
            <w:r>
              <w:rPr>
                <w:rFonts w:ascii="맑은 고딕" w:hAnsi="맑은 고딕" w:eastAsia="맑은 고딕"/>
                <w:sz w:val="19"/>
              </w:rPr>
              <w:t>작업분류체계 — 공정표의 작업 단위 구조</w:t>
            </w:r>
          </w:p>
        </w:tc>
      </w:tr>
      <w:tr>
        <w:tc>
          <w:tcPr>
            <w:tcW w:type="dxa" w:w="2169"/>
          </w:tcPr>
          <w:p>
            <w:r/>
            <w:r>
              <w:rPr>
                <w:rFonts w:ascii="맑은 고딕" w:hAnsi="맑은 고딕" w:eastAsia="맑은 고딕"/>
                <w:sz w:val="19"/>
              </w:rPr>
              <w:t>SSO</w:t>
            </w:r>
          </w:p>
        </w:tc>
        <w:tc>
          <w:tcPr>
            <w:tcW w:type="dxa" w:w="7469"/>
          </w:tcPr>
          <w:p>
            <w:r/>
            <w:r>
              <w:rPr>
                <w:rFonts w:ascii="맑은 고딕" w:hAnsi="맑은 고딕" w:eastAsia="맑은 고딕"/>
                <w:sz w:val="19"/>
              </w:rPr>
              <w:t>통합 인증(단일 로그인)</w:t>
            </w:r>
          </w:p>
        </w:tc>
      </w:tr>
      <w:tr>
        <w:tc>
          <w:tcPr>
            <w:tcW w:type="dxa" w:w="2169"/>
          </w:tcPr>
          <w:p>
            <w:r/>
            <w:r>
              <w:rPr>
                <w:rFonts w:ascii="맑은 고딕" w:hAnsi="맑은 고딕" w:eastAsia="맑은 고딕"/>
                <w:sz w:val="19"/>
              </w:rPr>
              <w:t>OIDC</w:t>
            </w:r>
          </w:p>
        </w:tc>
        <w:tc>
          <w:tcPr>
            <w:tcW w:type="dxa" w:w="7469"/>
          </w:tcPr>
          <w:p>
            <w:r/>
            <w:r>
              <w:rPr>
                <w:rFonts w:ascii="맑은 고딕" w:hAnsi="맑은 고딕" w:eastAsia="맑은 고딕"/>
                <w:sz w:val="19"/>
              </w:rPr>
              <w:t>표준 인증 연동 프로토콜(OpenID Connect)</w:t>
            </w:r>
          </w:p>
        </w:tc>
      </w:tr>
    </w:tbl>
    <w:p>
      <w:pPr>
        <w:pStyle w:val="Note"/>
      </w:pPr>
    </w:p>
    <w:p>
      <w:pPr>
        <w:pStyle w:val="Heading2"/>
      </w:pPr>
      <w:r>
        <w:t>부록 3. 첨부 증빙 목록</w:t>
      </w:r>
    </w:p>
    <w:tbl>
      <w:tblPr>
        <w:tblStyle w:val="TableGrid"/>
        <w:tblW w:type="auto" w:w="0"/>
        <w:jc w:val="center"/>
        <w:tblLook w:firstColumn="1" w:firstRow="1" w:lastColumn="0" w:lastRow="0" w:noHBand="0" w:noVBand="1" w:val="04A0"/>
      </w:tblPr>
      <w:tblGrid>
        <w:gridCol w:w="4819"/>
        <w:gridCol w:w="4819"/>
      </w:tblGrid>
      <w:tr>
        <w:tc>
          <w:tcPr>
            <w:tcW w:type="dxa" w:w="843"/>
            <w:shd w:val="clear" w:fill="1F3A5F"/>
          </w:tcPr>
          <w:p>
            <w:r/>
            <w:r>
              <w:rPr>
                <w:rFonts w:ascii="맑은 고딕" w:hAnsi="맑은 고딕" w:eastAsia="맑은 고딕"/>
                <w:b/>
                <w:color w:val="FFFFFF"/>
                <w:sz w:val="19"/>
              </w:rPr>
              <w:t>연번</w:t>
            </w:r>
          </w:p>
        </w:tc>
        <w:tc>
          <w:tcPr>
            <w:tcW w:type="dxa" w:w="8794"/>
            <w:shd w:val="clear" w:fill="1F3A5F"/>
          </w:tcPr>
          <w:p>
            <w:r/>
            <w:r>
              <w:rPr>
                <w:rFonts w:ascii="맑은 고딕" w:hAnsi="맑은 고딕" w:eastAsia="맑은 고딕"/>
                <w:b/>
                <w:color w:val="FFFFFF"/>
                <w:sz w:val="19"/>
              </w:rPr>
              <w:t>증빙</w:t>
            </w:r>
          </w:p>
        </w:tc>
      </w:tr>
      <w:tr>
        <w:tc>
          <w:tcPr>
            <w:tcW w:type="dxa" w:w="843"/>
          </w:tcPr>
          <w:p>
            <w:r/>
            <w:r>
              <w:rPr>
                <w:rFonts w:ascii="맑은 고딕" w:hAnsi="맑은 고딕" w:eastAsia="맑은 고딕"/>
                <w:sz w:val="19"/>
              </w:rPr>
              <w:t>1</w:t>
            </w:r>
          </w:p>
        </w:tc>
        <w:tc>
          <w:tcPr>
            <w:tcW w:type="dxa" w:w="8794"/>
          </w:tcPr>
          <w:p>
            <w:r/>
            <w:r>
              <w:rPr>
                <w:rFonts w:ascii="맑은 고딕" w:hAnsi="맑은 고딕" w:eastAsia="맑은 고딕"/>
                <w:sz w:val="19"/>
              </w:rPr>
              <w:t>여성기업확인서 (유효기간 내)</w:t>
            </w:r>
          </w:p>
        </w:tc>
      </w:tr>
      <w:tr>
        <w:tc>
          <w:tcPr>
            <w:tcW w:type="dxa" w:w="843"/>
          </w:tcPr>
          <w:p>
            <w:r/>
            <w:r>
              <w:rPr>
                <w:rFonts w:ascii="맑은 고딕" w:hAnsi="맑은 고딕" w:eastAsia="맑은 고딕"/>
                <w:sz w:val="19"/>
              </w:rPr>
              <w:t>2</w:t>
            </w:r>
          </w:p>
        </w:tc>
        <w:tc>
          <w:tcPr>
            <w:tcW w:type="dxa" w:w="8794"/>
          </w:tcPr>
          <w:p>
            <w:r/>
            <w:r>
              <w:rPr>
                <w:rFonts w:ascii="맑은 고딕" w:hAnsi="맑은 고딕" w:eastAsia="맑은 고딕"/>
                <w:sz w:val="19"/>
              </w:rPr>
              <w:t>중소기업(소상공인)확인서 (유효기간 내)</w:t>
            </w:r>
          </w:p>
        </w:tc>
      </w:tr>
      <w:tr>
        <w:tc>
          <w:tcPr>
            <w:tcW w:type="dxa" w:w="843"/>
          </w:tcPr>
          <w:p>
            <w:r/>
            <w:r>
              <w:rPr>
                <w:rFonts w:ascii="맑은 고딕" w:hAnsi="맑은 고딕" w:eastAsia="맑은 고딕"/>
                <w:sz w:val="19"/>
              </w:rPr>
              <w:t>3</w:t>
            </w:r>
          </w:p>
        </w:tc>
        <w:tc>
          <w:tcPr>
            <w:tcW w:type="dxa" w:w="8794"/>
          </w:tcPr>
          <w:p>
            <w:r/>
            <w:r>
              <w:rPr>
                <w:rFonts w:ascii="맑은 고딕" w:hAnsi="맑은 고딕" w:eastAsia="맑은 고딕"/>
                <w:sz w:val="19"/>
              </w:rPr>
              <w:t>사업자등록증 사본</w:t>
            </w:r>
          </w:p>
        </w:tc>
      </w:tr>
      <w:tr>
        <w:tc>
          <w:tcPr>
            <w:tcW w:type="dxa" w:w="843"/>
          </w:tcPr>
          <w:p>
            <w:r/>
            <w:r>
              <w:rPr>
                <w:rFonts w:ascii="맑은 고딕" w:hAnsi="맑은 고딕" w:eastAsia="맑은 고딕"/>
                <w:sz w:val="19"/>
              </w:rPr>
              <w:t>4</w:t>
            </w:r>
          </w:p>
        </w:tc>
        <w:tc>
          <w:tcPr>
            <w:tcW w:type="dxa" w:w="8794"/>
          </w:tcPr>
          <w:p>
            <w:r/>
            <w:r>
              <w:rPr>
                <w:rFonts w:ascii="맑은 고딕" w:hAnsi="맑은 고딕" w:eastAsia="맑은 고딕"/>
                <w:sz w:val="19"/>
              </w:rPr>
              <w:t>참여인력 경력 증빙 (착수 시 명단과 일치)</w:t>
            </w:r>
          </w:p>
        </w:tc>
      </w:tr>
      <w:tr>
        <w:tc>
          <w:tcPr>
            <w:tcW w:type="dxa" w:w="843"/>
          </w:tcPr>
          <w:p>
            <w:r/>
            <w:r>
              <w:rPr>
                <w:rFonts w:ascii="맑은 고딕" w:hAnsi="맑은 고딕" w:eastAsia="맑은 고딕"/>
                <w:sz w:val="19"/>
              </w:rPr>
              <w:t>5</w:t>
            </w:r>
          </w:p>
        </w:tc>
        <w:tc>
          <w:tcPr>
            <w:tcW w:type="dxa" w:w="8794"/>
          </w:tcPr>
          <w:p>
            <w:r/>
            <w:r>
              <w:rPr>
                <w:rFonts w:ascii="맑은 고딕" w:hAnsi="맑은 고딕" w:eastAsia="맑은 고딕"/>
                <w:sz w:val="19"/>
              </w:rPr>
              <w:t>수행 실적 증빙 (계약서·완료확인서 사본)</w:t>
            </w:r>
          </w:p>
        </w:tc>
      </w:tr>
    </w:tbl>
    <w:p>
      <w:pPr>
        <w:pStyle w:val="Note"/>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rPr>
      <w:t xml:space="preserve">- </w:t>
    </w:r>
    <w:r>
      <w:fldChar w:fldCharType="begin"/>
    </w:r>
    <w:r>
      <w:instrText xml:space="preserve">PAGE</w:instrText>
    </w:r>
    <w:r>
      <w:fldChar w:fldCharType="separate"/>
    </w:r>
    <w:r>
      <w:rPr>
        <w:rFonts w:ascii="맑은 고딕" w:hAnsi="맑은 고딕" w:eastAsia="맑은 고딕"/>
      </w:rPr>
      <w:t>1</w:t>
    </w:r>
    <w:r>
      <w:fldChar w:fldCharType="end"/>
    </w:r>
    <w:r>
      <w:rPr>
        <w:rFonts w:ascii="맑은 고딕" w:hAnsi="맑은 고딕" w:eastAsia="맑은 고딕"/>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맑은 고딕" w:hAnsi="맑은 고딕" w:eastAsia="맑은 고딕"/>
      <w:b w:val="0"/>
      <w:color w:val="111827"/>
      <w:sz w:val="24"/>
    </w:rPr>
  </w:style>
  <w:style w:type="paragraph" w:customStyle="1" w:styleId="Note">
    <w:name w:val="Note"/>
    <w:basedOn w:val="Normal"/>
    <w:rPr>
      <w:rFonts w:ascii="맑은 고딕" w:hAnsi="맑은 고딕" w:eastAsia="맑은 고딕"/>
      <w:b w:val="0"/>
      <w:color w:val="6B7280"/>
      <w:sz w:val="19"/>
    </w:rPr>
  </w:style>
  <w:style w:type="paragraph" w:customStyle="1" w:styleId="IdBadge">
    <w:name w:val="IdBadge"/>
    <w:basedOn w:val="Normal"/>
    <w:rPr>
      <w:rFonts w:ascii="맑은 고딕" w:hAnsi="맑은 고딕" w:eastAsia="맑은 고딕"/>
      <w:b/>
      <w:color w:val="1F3A5F"/>
      <w:sz w:val="19"/>
    </w:rPr>
  </w:style>
  <w:style w:type="paragraph" w:customStyle="1" w:styleId="Caption2">
    <w:name w:val="Caption2"/>
    <w:basedOn w:val="Normal"/>
    <w:rPr>
      <w:rFonts w:ascii="맑은 고딕" w:hAnsi="맑은 고딕" w:eastAsia="맑은 고딕"/>
      <w:b w:val="0"/>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