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b.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pPr>
        <w:pStyle w:val="Heading1"/>
        <w:pageBreakBefore/>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구축으로 이 공백을 채웁니다. "AI 시대를 선도하는 인간중심 미래교육"(부산광역시교육청 2026년 주요업무계획, 4대 역점과제 제1과제)과 교육감 공약 'AI 교수학습지원센터 구축'의 첫 단계 실행 인프라를 12주 안에 개통하고, 검증된 교육용 AI 스킬 25종을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교육용 AI 스킬 콘텐츠 제작 / 교원 연수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12주 이내(약 3개월)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36,300,000원(부가세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25종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pPr>
        <w:pStyle w:val="Heading1"/>
      </w:pPr>
      <w:r>
        <w:t>요구사항 준수표</w:t>
      </w:r>
    </w:p>
    <w:p>
      <w:pPr/>
      <w:r>
        <w:t>과업지시서 Ⅳ장의 요구사항 전체(22개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컬렉션(주제 묶음)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통계 리포트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SFR-013</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포털 시스템 개발과 교육용 콘텐츠 제작 — 을 별도 외주 없이 한 팀에서 수행합니다.</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포털인가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r>
        <w:t>B안은 아카이브를 넘어 참여형 포털로 도약하는 안입니다. 회원·평점·후기 체계가 현장 검증 데이터를 만들고, 버전 관리가 생성형 AI 서비스의 변화 속도에 자료가 따라가게 합니다 — '자료의 양'이 아니라 '활용도'로 성장하는 구조입니다.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12주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25종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참여로 검증</w:t>
            </w:r>
          </w:p>
        </w:tc>
        <w:tc>
          <w:tcPr>
            <w:tcW w:type="dxa" w:w="5421"/>
          </w:tcPr>
          <w:p>
            <w:r/>
            <w:r>
              <w:rPr>
                <w:rFonts w:ascii="맑은 고딕" w:hAnsi="맑은 고딕" w:eastAsia="맑은 고딕"/>
                <w:sz w:val="19"/>
              </w:rPr>
              <w:t>평점·후기·즐겨찾기 데이터가 우수 자료를 상위 노출하고 미충족 수요를 드러낸다</w:t>
            </w:r>
          </w:p>
        </w:tc>
        <w:tc>
          <w:tcPr>
            <w:tcW w:type="dxa" w:w="2650"/>
          </w:tcPr>
          <w:p>
            <w:r/>
            <w:r>
              <w:rPr>
                <w:rFonts w:ascii="맑은 고딕" w:hAnsi="맑은 고딕" w:eastAsia="맑은 고딕"/>
                <w:sz w:val="19"/>
              </w:rPr>
              <w:t>관리자 통계 리포트(SFR-012)</w:t>
            </w:r>
          </w:p>
        </w:tc>
      </w:tr>
    </w:tbl>
    <w:p>
      <w:pPr>
        <w:pStyle w:val="Note"/>
      </w:pPr>
    </w:p>
    <w:p>
      <w:pPr>
        <w:pStyle w:val="Heading2"/>
      </w:pPr>
      <w:r>
        <w:t>Ⅱ-7. 개발 방법론</w:t>
      </w:r>
    </w:p>
    <w:p>
      <w:pPr/>
      <w:r>
        <w:t>본 사업 규모(총 사업기간 12주)에서는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4345312"/>
            <wp:docPr id="6" name="Picture 6"/>
            <wp:cNvGraphicFramePr>
              <a:graphicFrameLocks noChangeAspect="1"/>
            </wp:cNvGraphicFramePr>
            <a:graphic>
              <a:graphicData uri="http://schemas.openxmlformats.org/drawingml/2006/picture">
                <pic:pic>
                  <pic:nvPicPr>
                    <pic:cNvPr id="0" name="arch_b.png"/>
                    <pic:cNvPicPr/>
                  </pic:nvPicPr>
                  <pic:blipFill>
                    <a:blip r:embed="rId15"/>
                    <a:stretch>
                      <a:fillRect/>
                    </a:stretch>
                  </pic:blipFill>
                  <pic:spPr>
                    <a:xfrm>
                      <a:off x="0" y="0"/>
                      <a:ext cx="5400000" cy="4345312"/>
                    </a:xfrm>
                    <a:prstGeom prst="rect"/>
                  </pic:spPr>
                </pic:pic>
              </a:graphicData>
            </a:graphic>
          </wp:inline>
        </w:drawing>
      </w:r>
    </w:p>
    <w:p>
      <w:pPr>
        <w:pStyle w:val="Caption2"/>
        <w:jc w:val="center"/>
      </w:pPr>
      <w:r>
        <w:t>[그림 5] 기본 기능 위에 회원·참여 계층을 더한 포털 구조 — 개인정보는 암호화 저장한다 (SFR-005 · SFR-006 · SFR-007 · SER-002)</w:t>
      </w:r>
    </w:p>
    <w:p>
      <w:pPr>
        <w:pStyle w:val="Heading2"/>
      </w:pPr>
      <w:r>
        <w:t>Ⅲ-2. 기능 요구사항 구현방안 — 교원이 검색 한 번으로 스킬에 도달하는 포털</w:t>
      </w:r>
    </w:p>
    <w:p>
      <w:pPr>
        <w:pStyle w:val="Heading3"/>
      </w:pPr>
      <w:r>
        <w:t>가. 스킬 탐색 — 4축 분류·다중 필터·미리보기</w:t>
      </w:r>
    </w:p>
    <w:p>
      <w:pPr>
        <w:pStyle w:val="IdBadge"/>
        <w:shd w:val="clear" w:fill="EEF2F7"/>
      </w:pPr>
      <w:r>
        <w:t>[대응 요구사항: SFR-001 · SFR-002 · SFR-003 · SFR-004]</w:t>
      </w:r>
    </w:p>
    <w:p>
      <w:pPr/>
      <w:r>
        <w:t>요구 분석 — 자료가 25종을 넘어서면 단일 분류로는 탐색이 무너진다. 학교급·교과·업무유형·활용도구 4축과 다중 조건 필터가 '내 상황'으로 좁히는 경로를 만든다.</w:t>
      </w:r>
    </w:p>
    <w:p>
      <w:pPr/>
      <w:r>
        <w:t>· 목록은 4축 다중 필터와 3종 정렬(최신·평점·다운로드)을 지원한다(SFR-001~003).</w:t>
      </w:r>
    </w:p>
    <w:p>
      <w:pPr/>
      <w:r>
        <w:t>· 설명 문서(README 형식)는 서식이 유지된 미리보기로 렌더링한다(SFR-004) — 내려받기 전에 내용을 판단하게 한다.</w:t>
      </w:r>
    </w:p>
    <w:p>
      <w:pPr/>
      <w:r>
        <w:t>· 필터 조합은 URL 로 보존해 교원 간 공유 링크가 같은 화면을 재현하게 한다.</w:t>
      </w:r>
    </w:p>
    <w:p>
      <w:pPr>
        <w:pStyle w:val="Note"/>
      </w:pPr>
      <w:r>
        <w:t>적용 기술: 다중 필터 색인 + 마크다운 렌더러(스크립트 이스케이프 처리)</w:t>
      </w:r>
    </w:p>
    <w:p>
      <w:pPr>
        <w:jc w:val="center"/>
      </w:pPr>
      <w:r>
        <w:drawing>
          <wp:inline xmlns:a="http://schemas.openxmlformats.org/drawingml/2006/main" xmlns:pic="http://schemas.openxmlformats.org/drawingml/2006/picture">
            <wp:extent cx="5400000" cy="3429000"/>
            <wp:docPr id="7" name="Picture 7"/>
            <wp:cNvGraphicFramePr>
              <a:graphicFrameLocks noChangeAspect="1"/>
            </wp:cNvGraphicFramePr>
            <a:graphic>
              <a:graphicData uri="http://schemas.openxmlformats.org/drawingml/2006/picture">
                <pic:pic>
                  <pic:nvPicPr>
                    <pic:cNvPr id="0" name="b_main.png"/>
                    <pic:cNvPicPr/>
                  </pic:nvPicPr>
                  <pic:blipFill>
                    <a:blip r:embed="rId16"/>
                    <a:stretch>
                      <a:fillRect/>
                    </a:stretch>
                  </pic:blipFill>
                  <pic:spPr>
                    <a:xfrm>
                      <a:off x="0" y="0"/>
                      <a:ext cx="5400000" cy="3429000"/>
                    </a:xfrm>
                    <a:prstGeom prst="rect"/>
                  </pic:spPr>
                </pic:pic>
              </a:graphicData>
            </a:graphic>
          </wp:inline>
        </w:drawing>
      </w:r>
    </w:p>
    <w:p>
      <w:pPr>
        <w:pStyle w:val="Caption2"/>
        <w:jc w:val="center"/>
      </w:pPr>
      <w:r>
        <w:t>[그림 6] 4축 필터·평점·컬렉션으로 현장에서 검증된 스킬이 먼저 보인다 (SFR-002 · SFR-003 · SFR-006 · SFR-008)</w:t>
      </w:r>
    </w:p>
    <w:p>
      <w:pPr>
        <w:pStyle w:val="Heading3"/>
      </w:pPr>
      <w:r>
        <w:t>나. 회원·권한</w:t>
      </w:r>
    </w:p>
    <w:p>
      <w:pPr>
        <w:pStyle w:val="IdBadge"/>
        <w:shd w:val="clear" w:fill="EEF2F7"/>
      </w:pPr>
      <w:r>
        <w:t>[대응 요구사항: SFR-005]</w:t>
      </w:r>
    </w:p>
    <w:p>
      <w:pPr/>
      <w:r>
        <w:t>요구 분석 — 평가·후기·즐겨찾기는 계정이 있어야 신뢰를 만든다. 다만 가입 장벽이 확산을 막지 않도록 열람·다운로드는 비로그인에도 개방한다.</w:t>
      </w:r>
    </w:p>
    <w:p>
      <w:pPr/>
      <w:r>
        <w:t>· 자체 회원가입 또는 발주기관 지정 인증수단 연동으로 로그인을 제공하고, 교원·관리자 권한을 구분한다(SFR-005).</w:t>
      </w:r>
    </w:p>
    <w:p>
      <w:pPr/>
      <w:r>
        <w:t>· 소속 학교급 정보를 수집해 목록 기본 필터에 반영한다 — 수집 항목은 최소화하고 처리방침·동의 절차를 구현한다.</w:t>
      </w:r>
    </w:p>
    <w:p>
      <w:pPr/>
      <w:r>
        <w:t>· 부산교육청 통합계정 PENZ(2026.9 전면 도입 예정)를 연동 1순위 후보로 설계에 반영해 계정 이중화를 방지한다.</w:t>
      </w:r>
    </w:p>
    <w:p>
      <w:pPr>
        <w:pStyle w:val="Note"/>
      </w:pPr>
      <w:r>
        <w:t>적용 기술: 표준 인증(OIDC 호환) + 역할 기반 접근 제어</w:t>
      </w:r>
    </w:p>
    <w:p>
      <w:pPr>
        <w:pStyle w:val="Heading3"/>
      </w:pPr>
      <w:r>
        <w:t>다. 참여·신뢰 — 평점·후기·버전</w:t>
      </w:r>
    </w:p>
    <w:p>
      <w:pPr>
        <w:pStyle w:val="IdBadge"/>
        <w:shd w:val="clear" w:fill="EEF2F7"/>
      </w:pPr>
      <w:r>
        <w:t>[대응 요구사항: SFR-006 · SFR-007]</w:t>
      </w:r>
    </w:p>
    <w:p>
      <w:pPr/>
      <w:r>
        <w:t>요구 분석 — 현장에서 검증된 자료가 위로 올라오는 구조가 '자료의 양'이 아니라 '활용도'로 아카이브를 성장시킨다. 개정 이력은 생성형 AI 변화 대응의 핵심 장치다.</w:t>
      </w:r>
    </w:p>
    <w:p>
      <w:pPr/>
      <w:r>
        <w:t>· 즐겨찾기·5단계 평점·후기와 신고·숨김 처리를 제공한다(SFR-006).</w:t>
      </w:r>
    </w:p>
    <w:p>
      <w:pPr/>
      <w:r>
        <w:t>· 스킬별 개정 이력·이전 버전 조회·변경 사유를 관리하고, 개정 시 즐겨찾기 이용자에게 알림을 보낸다(SFR-007).</w:t>
      </w:r>
    </w:p>
    <w:p>
      <w:pPr/>
      <w:r>
        <w:t>· 후기 신고는 관리자 처리 대기 목록에 올라 숨김 여부를 결정한다.</w:t>
      </w:r>
    </w:p>
    <w:p>
      <w:pPr>
        <w:pStyle w:val="Note"/>
      </w:pPr>
      <w:r>
        <w:t>적용 기술: 버전 스냅숏 저장 + 알림 큐</w:t>
      </w:r>
    </w:p>
    <w:p>
      <w:pPr>
        <w:jc w:val="center"/>
      </w:pPr>
      <w:r>
        <w:drawing>
          <wp:inline xmlns:a="http://schemas.openxmlformats.org/drawingml/2006/main" xmlns:pic="http://schemas.openxmlformats.org/drawingml/2006/picture">
            <wp:extent cx="4680000" cy="3740843"/>
            <wp:docPr id="8" name="Picture 8"/>
            <wp:cNvGraphicFramePr>
              <a:graphicFrameLocks noChangeAspect="1"/>
            </wp:cNvGraphicFramePr>
            <a:graphic>
              <a:graphicData uri="http://schemas.openxmlformats.org/drawingml/2006/picture">
                <pic:pic>
                  <pic:nvPicPr>
                    <pic:cNvPr id="0" name="b_detail.png"/>
                    <pic:cNvPicPr/>
                  </pic:nvPicPr>
                  <pic:blipFill>
                    <a:blip r:embed="rId17"/>
                    <a:stretch>
                      <a:fillRect/>
                    </a:stretch>
                  </pic:blipFill>
                  <pic:spPr>
                    <a:xfrm>
                      <a:off x="0" y="0"/>
                      <a:ext cx="4680000" cy="3740843"/>
                    </a:xfrm>
                    <a:prstGeom prst="rect"/>
                  </pic:spPr>
                </pic:pic>
              </a:graphicData>
            </a:graphic>
          </wp:inline>
        </w:drawing>
      </w:r>
    </w:p>
    <w:p>
      <w:pPr>
        <w:pStyle w:val="Caption2"/>
        <w:jc w:val="center"/>
      </w:pPr>
      <w:r>
        <w:t>[그림 7] 평점·후기·개정 이력이 스킬의 신뢰도를 화면에서 증명한다 (SFR-006 · SFR-007)</w:t>
      </w:r>
    </w:p>
    <w:p>
      <w:pPr>
        <w:pStyle w:val="Heading3"/>
      </w:pPr>
      <w:r>
        <w:t>라. 컬렉션·내려받기</w:t>
      </w:r>
    </w:p>
    <w:p>
      <w:pPr>
        <w:pStyle w:val="IdBadge"/>
        <w:shd w:val="clear" w:fill="EEF2F7"/>
      </w:pPr>
      <w:r>
        <w:t>[대응 요구사항: SFR-008 · SFR-009]</w:t>
      </w:r>
    </w:p>
    <w:p>
      <w:pPr/>
      <w:r>
        <w:t>요구 분석 — '학기말 평가 준비'처럼 시기별 필요를 묶은 큐레이션이 탐색 비용을 더 줄인다.</w:t>
      </w:r>
    </w:p>
    <w:p>
      <w:pPr/>
      <w:r>
        <w:t>· 관리자가 구성하는 주제별 컬렉션을 제공한다(SFR-008).</w:t>
      </w:r>
    </w:p>
    <w:p>
      <w:pPr/>
      <w:r>
        <w:t>· 파일 다운로드·본문 복사와 이용 집계를 제공한다(SFR-009).</w:t>
      </w:r>
    </w:p>
    <w:p>
      <w:pPr>
        <w:pStyle w:val="Note"/>
      </w:pPr>
      <w:r>
        <w:t>적용 기술: 컬렉션 편성 화면 + 집계 파이프라인</w:t>
      </w:r>
    </w:p>
    <w:p>
      <w:pPr>
        <w:pStyle w:val="Heading3"/>
      </w:pPr>
      <w:r>
        <w:t>마. 관리자 — 콘텐츠·회원·리포트</w:t>
      </w:r>
    </w:p>
    <w:p>
      <w:pPr>
        <w:pStyle w:val="IdBadge"/>
        <w:shd w:val="clear" w:fill="EEF2F7"/>
      </w:pPr>
      <w:r>
        <w:t>[대응 요구사항: SFR-010 · SFR-011 · SFR-012]</w:t>
      </w:r>
    </w:p>
    <w:p>
      <w:pPr/>
      <w:r>
        <w:t>요구 분석 — 운영 담당자의 화면이 곧 서비스의 수명이다. 일괄 등록과 엑셀 리포트가 운영 부담을 줄인다.</w:t>
      </w:r>
    </w:p>
    <w:p>
      <w:pPr/>
      <w:r>
        <w:t>· 스킬 등록·수정·삭제·게시 전환과 CSV·압축파일 일괄 등록을 제공한다(SFR-010).</w:t>
      </w:r>
    </w:p>
    <w:p>
      <w:pPr/>
      <w:r>
        <w:t>· 회원 조회·상태 관리와 후기 관리를 제공한다(SFR-011).</w:t>
      </w:r>
    </w:p>
    <w:p>
      <w:pPr/>
      <w:r>
        <w:t>· 조회·다운로드·평점 통계 리포트를 제공하고 엑셀로 내려받는다(SFR-012).</w:t>
      </w:r>
    </w:p>
    <w:p>
      <w:pPr/>
      <w:r>
        <w:t>· 공지사항 등록·게시와 이용안내 정적 페이지를 제공하고, 개인정보·저작권 유의 기준을 상시 게시한다(SFR-013).</w:t>
      </w:r>
    </w:p>
    <w:p>
      <w:pPr>
        <w:pStyle w:val="Note"/>
      </w:pPr>
      <w:r>
        <w:t>적용 기술: 일괄 등록 검증 파이프라인 + 통계 집계</w:t>
      </w:r>
    </w:p>
    <w:p>
      <w:pPr>
        <w:jc w:val="center"/>
      </w:pPr>
      <w:r>
        <w:drawing>
          <wp:inline xmlns:a="http://schemas.openxmlformats.org/drawingml/2006/main" xmlns:pic="http://schemas.openxmlformats.org/drawingml/2006/picture">
            <wp:extent cx="5400000" cy="4318945"/>
            <wp:docPr id="9" name="Picture 9"/>
            <wp:cNvGraphicFramePr>
              <a:graphicFrameLocks noChangeAspect="1"/>
            </wp:cNvGraphicFramePr>
            <a:graphic>
              <a:graphicData uri="http://schemas.openxmlformats.org/drawingml/2006/picture">
                <pic:pic>
                  <pic:nvPicPr>
                    <pic:cNvPr id="0" name="b_admin.png"/>
                    <pic:cNvPicPr/>
                  </pic:nvPicPr>
                  <pic:blipFill>
                    <a:blip r:embed="rId18"/>
                    <a:stretch>
                      <a:fillRect/>
                    </a:stretch>
                  </pic:blipFill>
                  <pic:spPr>
                    <a:xfrm>
                      <a:off x="0" y="0"/>
                      <a:ext cx="5400000" cy="4318945"/>
                    </a:xfrm>
                    <a:prstGeom prst="rect"/>
                  </pic:spPr>
                </pic:pic>
              </a:graphicData>
            </a:graphic>
          </wp:inline>
        </w:drawing>
      </w:r>
    </w:p>
    <w:p>
      <w:pPr>
        <w:pStyle w:val="Caption2"/>
        <w:jc w:val="center"/>
      </w:pPr>
      <w:r>
        <w:t>[그림 8] 회원·평점·다운로드 현황을 대시보드로 관리하고 엑셀로 내려받는다 (SFR-011 · SFR-012)</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r>
        <w:t>기술 스택: Node.js 기반 웹 애플리케이션 + PostgreSQL + Nginx(공용 클라우드), 인증은 표준 프로토콜(OIDC 호환)로 구성해 발주기관 지정 인증수단·PENZ 연동에 대비한다.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pStyle w:val="Heading2"/>
      </w:pPr>
      <w:r>
        <w:t>Ⅲ-6. 콘텐츠 제작 방안 — 스킬 25종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7종, 평가·피드백 6종, 학급 경영 4종, 교육행정 문서 4종, 특수·상담 등 4종 — 최종 배분은 교원 요구조사(설문 50명·인터뷰 6회) 결과를 반영해 발주기관과 협의 확정합니다. 각 스킬은 상용 생성형 AI 2종 이상 동작 확인과 현직 교원 3인 이상 검수를 거치며, 개정 이력 항목을 포함해 등록합니다. 학생 개인정보는 익명화·대체 입력 방식으로 안내합니다.</w:t>
      </w:r>
    </w:p>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789000"/>
            <wp:docPr id="11" name="Picture 11"/>
            <wp:cNvGraphicFramePr>
              <a:graphicFrameLocks noChangeAspect="1"/>
            </wp:cNvGraphicFramePr>
            <a:graphic>
              <a:graphicData uri="http://schemas.openxmlformats.org/drawingml/2006/picture">
                <pic:pic>
                  <pic:nvPicPr>
                    <pic:cNvPr id="0" name="gantt_b.png"/>
                    <pic:cNvPicPr/>
                  </pic:nvPicPr>
                  <pic:blipFill>
                    <a:blip r:embed="rId20"/>
                    <a:stretch>
                      <a:fillRect/>
                    </a:stretch>
                  </pic:blipFill>
                  <pic:spPr>
                    <a:xfrm>
                      <a:off x="0" y="0"/>
                      <a:ext cx="5760000" cy="3789000"/>
                    </a:xfrm>
                    <a:prstGeom prst="rect"/>
                  </pic:spPr>
                </pic:pic>
              </a:graphicData>
            </a:graphic>
          </wp:inline>
        </w:drawing>
      </w:r>
    </w:p>
    <w:p>
      <w:pPr>
        <w:pStyle w:val="Caption2"/>
        <w:jc w:val="center"/>
      </w:pPr>
      <w:r>
        <w:t>[그림 10]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사례조사(8개 이상), 교원 요구조사(설문 50명·인터뷰 6회)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3~5주</w:t>
            </w:r>
          </w:p>
        </w:tc>
        <w:tc>
          <w:tcPr>
            <w:tcW w:type="dxa" w:w="5301"/>
          </w:tcPr>
          <w:p>
            <w:r/>
            <w:r>
              <w:rPr>
                <w:rFonts w:ascii="맑은 고딕" w:hAnsi="맑은 고딕" w:eastAsia="맑은 고딕"/>
                <w:sz w:val="19"/>
              </w:rPr>
              <w:t>정보구조 설계, 화면설계서, 디자인 시안(메인 2안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5~10주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4~9주</w:t>
            </w:r>
          </w:p>
        </w:tc>
        <w:tc>
          <w:tcPr>
            <w:tcW w:type="dxa" w:w="5301"/>
          </w:tcPr>
          <w:p>
            <w:r/>
            <w:r>
              <w:rPr>
                <w:rFonts w:ascii="맑은 고딕" w:hAnsi="맑은 고딕" w:eastAsia="맑은 고딕"/>
                <w:sz w:val="19"/>
              </w:rPr>
              <w:t>스킬 25종 제작 및 현직 교원 3인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10~11주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연수 및 준공</w:t>
            </w:r>
          </w:p>
        </w:tc>
        <w:tc>
          <w:tcPr>
            <w:tcW w:type="dxa" w:w="1446"/>
          </w:tcPr>
          <w:p>
            <w:r/>
            <w:r>
              <w:rPr>
                <w:rFonts w:ascii="맑은 고딕" w:hAnsi="맑은 고딕" w:eastAsia="맑은 고딕"/>
                <w:sz w:val="19"/>
              </w:rPr>
              <w:t>11~12주</w:t>
            </w:r>
          </w:p>
        </w:tc>
        <w:tc>
          <w:tcPr>
            <w:tcW w:type="dxa" w:w="5301"/>
          </w:tcPr>
          <w:p>
            <w:r/>
            <w:r>
              <w:rPr>
                <w:rFonts w:ascii="맑은 고딕" w:hAnsi="맑은 고딕" w:eastAsia="맑은 고딕"/>
                <w:sz w:val="19"/>
              </w:rPr>
              <w:t>교원 연수 2회, 관리자 교육(4시간 이상),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교육 강의 경력</w:t>
            </w:r>
          </w:p>
        </w:tc>
        <w:tc>
          <w:tcPr>
            <w:tcW w:type="dxa" w:w="2771"/>
          </w:tcPr>
          <w:p>
            <w:r/>
            <w:r>
              <w:rPr>
                <w:rFonts w:ascii="맑은 고딕" w:hAnsi="맑은 고딕" w:eastAsia="맑은 고딕"/>
                <w:sz w:val="19"/>
              </w:rPr>
              <w:t>교원 연수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교육(4시간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pStyle w:val="IdBadge"/>
        <w:shd w:val="clear" w:fill="EEF2F7"/>
      </w:pPr>
      <w:r>
        <w:t>[대응 요구사항: PSR-001]</w:t>
      </w:r>
    </w:p>
    <w:p>
      <w:pPr/>
      <w:r>
        <w:t>관내 교원 대상 3시간 활용 연수를 2회 실시합니다(회당 30명 내외, 장소는 발주기관 지정). 구성: 포털 이용 방법(40분) → 영역별 스킬 활용 실습(100분, 노트북 실습) → 개인정보·저작권 유의사항(40분). 교재는 인쇄·전자파일로 제공하고, 연수 종료 시 만족도 조사를 실시해 결과보고서에 수록합니다(PSR-001). 실시간 온라인 병행 여부는 발주기관과 협의해 확정합니다.</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1.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교원 활용 연수는 강의가 아니라 노트북 실습 중심으로 운영한다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6개월로 하며, 오류·장애는 통보 후 24시간 이내 접수, 3일 이내 조치를 원칙으로 한다. 기간 중 월 1회 운영 현황 보고서(접속 통계·장애 조치 내역 포함)를 제출한다(과업지시서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6개월 + 월간 운영보고로 운영 체계 정착</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26.9 FP × 605,784원 × 보정계수 1.227264</w:t>
            </w:r>
          </w:p>
        </w:tc>
        <w:tc>
          <w:tcPr>
            <w:tcW w:type="dxa" w:w="1662"/>
          </w:tcPr>
          <w:p>
            <w:r/>
            <w:r>
              <w:rPr>
                <w:rFonts w:ascii="맑은 고딕" w:hAnsi="맑은 고딕" w:eastAsia="맑은 고딕"/>
                <w:sz w:val="19"/>
              </w:rPr>
              <w:t>19,998,990</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3인 검수)</w:t>
            </w:r>
          </w:p>
        </w:tc>
        <w:tc>
          <w:tcPr>
            <w:tcW w:type="dxa" w:w="3323"/>
          </w:tcPr>
          <w:p>
            <w:r/>
            <w:r>
              <w:rPr>
                <w:rFonts w:ascii="맑은 고딕" w:hAnsi="맑은 고딕" w:eastAsia="맑은 고딕"/>
                <w:sz w:val="19"/>
              </w:rPr>
              <w:t>25종 × 350,000원</w:t>
            </w:r>
          </w:p>
        </w:tc>
        <w:tc>
          <w:tcPr>
            <w:tcW w:type="dxa" w:w="1662"/>
          </w:tcPr>
          <w:p>
            <w:r/>
            <w:r>
              <w:rPr>
                <w:rFonts w:ascii="맑은 고딕" w:hAnsi="맑은 고딕" w:eastAsia="맑은 고딕"/>
                <w:sz w:val="19"/>
              </w:rPr>
              <w:t>8,750,000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활용 연수 운영(3시간 과정, 교재·만족도 조사 포함)</w:t>
            </w:r>
          </w:p>
        </w:tc>
        <w:tc>
          <w:tcPr>
            <w:tcW w:type="dxa" w:w="3323"/>
          </w:tcPr>
          <w:p>
            <w:r/>
            <w:r>
              <w:rPr>
                <w:rFonts w:ascii="맑은 고딕" w:hAnsi="맑은 고딕" w:eastAsia="맑은 고딕"/>
                <w:sz w:val="19"/>
              </w:rPr>
              <w:t>2회 × 600,000원</w:t>
            </w:r>
          </w:p>
        </w:tc>
        <w:tc>
          <w:tcPr>
            <w:tcW w:type="dxa" w:w="1662"/>
          </w:tcPr>
          <w:p>
            <w:r/>
            <w:r>
              <w:rPr>
                <w:rFonts w:ascii="맑은 고딕" w:hAnsi="맑은 고딕" w:eastAsia="맑은 고딕"/>
                <w:sz w:val="19"/>
              </w:rPr>
              <w:t>1,200,000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140,000원</w:t>
            </w:r>
          </w:p>
        </w:tc>
        <w:tc>
          <w:tcPr>
            <w:tcW w:type="dxa" w:w="1662"/>
          </w:tcPr>
          <w:p>
            <w:r/>
            <w:r>
              <w:rPr>
                <w:rFonts w:ascii="맑은 고딕" w:hAnsi="맑은 고딕" w:eastAsia="맑은 고딕"/>
                <w:sz w:val="19"/>
              </w:rPr>
              <w:t>1,680,000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6부 × 30,000원</w:t>
            </w:r>
          </w:p>
        </w:tc>
        <w:tc>
          <w:tcPr>
            <w:tcW w:type="dxa" w:w="1662"/>
          </w:tcPr>
          <w:p>
            <w:r/>
            <w:r>
              <w:rPr>
                <w:rFonts w:ascii="맑은 고딕" w:hAnsi="맑은 고딕" w:eastAsia="맑은 고딕"/>
                <w:sz w:val="19"/>
              </w:rPr>
              <w:t>180,000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이윤 (개발원가의 5.71%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1,141,010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36,300,000</w:t>
            </w:r>
          </w:p>
        </w:tc>
      </w:tr>
    </w:tbl>
    <w:p>
      <w:pPr>
        <w:pStyle w:val="Note"/>
      </w:pPr>
    </w:p>
    <w:p>
      <w:pPr/>
      <w:r>
        <w:t>총 계약금액 36,300,000원은 발주 예산과 일치하며, 항목 합계는 자동 검산을 거쳤습니다. 이윤율은 법정 한도(개발원가의 25%, 국가계약법 시행규칙 제8조) 대비 5.7%만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 분류)</w:t>
            </w:r>
          </w:p>
        </w:tc>
        <w:tc>
          <w:tcPr>
            <w:tcW w:type="dxa" w:w="4755"/>
          </w:tcPr>
          <w:p>
            <w:r/>
            <w:r>
              <w:rPr>
                <w:rFonts w:ascii="맑은 고딕" w:hAnsi="맑은 고딕" w:eastAsia="맑은 고딕"/>
                <w:sz w:val="19"/>
              </w:rPr>
              <w:t>스킬 원장(학교급·교과·업무유형·활용도구,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등록·게시전환·일괄등록(CSV)</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w:t>
            </w:r>
          </w:p>
        </w:tc>
        <w:tc>
          <w:tcPr>
            <w:tcW w:type="dxa" w:w="4755"/>
          </w:tcPr>
          <w:p>
            <w:r/>
            <w:r>
              <w:rPr>
                <w:rFonts w:ascii="맑은 고딕" w:hAnsi="맑은 고딕" w:eastAsia="맑은 고딕"/>
                <w:sz w:val="19"/>
              </w:rPr>
              <w:t>회원 원장(교원·관리자, 소속 학교급)</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참여·이력</w:t>
            </w:r>
          </w:p>
        </w:tc>
        <w:tc>
          <w:tcPr>
            <w:tcW w:type="dxa" w:w="4755"/>
          </w:tcPr>
          <w:p>
            <w:r/>
            <w:r>
              <w:rPr>
                <w:rFonts w:ascii="맑은 고딕" w:hAnsi="맑은 고딕" w:eastAsia="맑은 고딕"/>
                <w:sz w:val="19"/>
              </w:rPr>
              <w:t>평점·후기·즐겨찾기·버전 이력 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26.9</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지정 인증수단 연동 외 외부 연계 없음(SFR-005)</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다중 조건 필터·통계 리포트 상시 조회(SFR-003, SFR-012)</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1.02</w:t>
            </w:r>
          </w:p>
        </w:tc>
        <w:tc>
          <w:tcPr>
            <w:tcW w:type="dxa" w:w="6544"/>
          </w:tcPr>
          <w:p>
            <w:r/>
            <w:r>
              <w:rPr>
                <w:rFonts w:ascii="맑은 고딕" w:hAnsi="맑은 고딕" w:eastAsia="맑은 고딕"/>
                <w:sz w:val="19"/>
              </w:rPr>
              <w:t>개인정보 암호화 저장·처리방침·동의절차 구현(SER-002)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OIDC</w:t>
            </w:r>
          </w:p>
        </w:tc>
        <w:tc>
          <w:tcPr>
            <w:tcW w:type="dxa" w:w="7469"/>
          </w:tcPr>
          <w:p>
            <w:r/>
            <w:r>
              <w:rPr>
                <w:rFonts w:ascii="맑은 고딕" w:hAnsi="맑은 고딕" w:eastAsia="맑은 고딕"/>
                <w:sz w:val="19"/>
              </w:rPr>
              <w:t>표준 인증 연동 프로토콜(OpenID Connect)</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