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및 교원 역량강화 연수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 + 교원 역량강화 연수으로 이 공백을 채웁니다. "AI 시대를 선도하는 인간중심 미래교육"(부산광역시교육청 2026년 주요업무계획, 4대 역점과제 제1과제)과 교육감 공약 'AI 교수학습지원센터 구축'의 첫 단계 실행 인프라를 16주 안에 개통하고, 검증된 교육용 AI 스킬 40종을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AI 자연어 검색 및 체험 기능 / 교육용 AI 스킬 콘텐츠 제작 / 교원 직무연수 및 안내 영상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16주 이내(약 4개월)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49,500,000원(부가세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검색 품질 평가 결과서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전체(28개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분류체계·컬렉션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AI 자연어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맞춤 추천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브라우저 내 체험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SFR-014</w:t>
            </w:r>
          </w:p>
        </w:tc>
        <w:tc>
          <w:tcPr>
            <w:tcW w:type="dxa" w:w="3735"/>
          </w:tcPr>
          <w:p>
            <w:r/>
            <w:r>
              <w:rPr>
                <w:rFonts w:ascii="맑은 고딕" w:hAnsi="맑은 고딕" w:eastAsia="맑은 고딕"/>
                <w:sz w:val="19"/>
              </w:rPr>
              <w:t>관리자 대시보드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ECR-001</w:t>
            </w:r>
          </w:p>
        </w:tc>
        <w:tc>
          <w:tcPr>
            <w:tcW w:type="dxa" w:w="3735"/>
          </w:tcPr>
          <w:p>
            <w:r/>
            <w:r>
              <w:rPr>
                <w:rFonts w:ascii="맑은 고딕" w:hAnsi="맑은 고딕" w:eastAsia="맑은 고딕"/>
                <w:sz w:val="19"/>
              </w:rPr>
              <w:t>외부 AI 서비스 연동</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구현방안(외부 AI 연계)</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SER-003</w:t>
            </w:r>
          </w:p>
        </w:tc>
        <w:tc>
          <w:tcPr>
            <w:tcW w:type="dxa" w:w="3735"/>
          </w:tcPr>
          <w:p>
            <w:r/>
            <w:r>
              <w:rPr>
                <w:rFonts w:ascii="맑은 고딕" w:hAnsi="맑은 고딕" w:eastAsia="맑은 고딕"/>
                <w:sz w:val="19"/>
              </w:rPr>
              <w:t>외부 전송 통제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QUR-003</w:t>
            </w:r>
          </w:p>
        </w:tc>
        <w:tc>
          <w:tcPr>
            <w:tcW w:type="dxa" w:w="3735"/>
          </w:tcPr>
          <w:p>
            <w:r/>
            <w:r>
              <w:rPr>
                <w:rFonts w:ascii="맑은 고딕" w:hAnsi="맑은 고딕" w:eastAsia="맑은 고딕"/>
                <w:sz w:val="19"/>
              </w:rPr>
              <w:t>검색 품질 평가</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직무연수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PSR-002</w:t>
            </w:r>
          </w:p>
        </w:tc>
        <w:tc>
          <w:tcPr>
            <w:tcW w:type="dxa" w:w="3735"/>
          </w:tcPr>
          <w:p>
            <w:r/>
            <w:r>
              <w:rPr>
                <w:rFonts w:ascii="맑은 고딕" w:hAnsi="맑은 고딕" w:eastAsia="맑은 고딕"/>
                <w:sz w:val="19"/>
              </w:rPr>
              <w:t>안내 영상 제작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r>
        <w:tc>
          <w:tcPr>
            <w:tcW w:type="dxa" w:w="1687"/>
          </w:tcPr>
          <w:p>
            <w:r/>
            <w:r>
              <w:rPr>
                <w:rFonts w:ascii="맑은 고딕" w:hAnsi="맑은 고딕" w:eastAsia="맑은 고딕"/>
                <w:sz w:val="19"/>
              </w:rPr>
              <w:t>PMR-002</w:t>
            </w:r>
          </w:p>
        </w:tc>
        <w:tc>
          <w:tcPr>
            <w:tcW w:type="dxa" w:w="3735"/>
          </w:tcPr>
          <w:p>
            <w:r/>
            <w:r>
              <w:rPr>
                <w:rFonts w:ascii="맑은 고딕" w:hAnsi="맑은 고딕" w:eastAsia="맑은 고딕"/>
                <w:sz w:val="19"/>
              </w:rPr>
              <w:t>유지관리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C안은 시스템·콘텐츠·역량을 한 사업으로 묶는 완성형입니다. 교원이 문장으로 묻는 지능형 포털, 40종의 검증 콘텐츠, 15시간 직무연수, 그리고 준공 후 12개월 유지관리가 결합해 — 구축과 동시에 확산이 시작되고, 개통 이후가 보장되는 안입니다. 'AI 교수학습지원센터 구축' 공약의 실행 모델로 곧바로 보고 가능한 구성입니다.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16주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40종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역량과 함께 확산</w:t>
            </w:r>
          </w:p>
        </w:tc>
        <w:tc>
          <w:tcPr>
            <w:tcW w:type="dxa" w:w="5421"/>
          </w:tcPr>
          <w:p>
            <w:r/>
            <w:r>
              <w:rPr>
                <w:rFonts w:ascii="맑은 고딕" w:hAnsi="맑은 고딕" w:eastAsia="맑은 고딕"/>
                <w:sz w:val="19"/>
              </w:rPr>
              <w:t>15시간 직무연수 산출물(교원 제작 스킬)이 포털 신규 콘텐츠 후보가 되는 순환 구조를 만든다</w:t>
            </w:r>
          </w:p>
        </w:tc>
        <w:tc>
          <w:tcPr>
            <w:tcW w:type="dxa" w:w="2650"/>
          </w:tcPr>
          <w:p>
            <w:r/>
            <w:r>
              <w:rPr>
                <w:rFonts w:ascii="맑은 고딕" w:hAnsi="맑은 고딕" w:eastAsia="맑은 고딕"/>
                <w:sz w:val="19"/>
              </w:rPr>
              <w:t>연수 결과보고서·산출물</w:t>
            </w:r>
          </w:p>
        </w:tc>
      </w:tr>
      <w:tr>
        <w:tc>
          <w:tcPr>
            <w:tcW w:type="dxa" w:w="1566"/>
          </w:tcPr>
          <w:p>
            <w:r/>
            <w:r>
              <w:rPr>
                <w:rFonts w:ascii="맑은 고딕" w:hAnsi="맑은 고딕" w:eastAsia="맑은 고딕"/>
                <w:sz w:val="19"/>
              </w:rPr>
              <w:t>개통 후 1년 보장</w:t>
            </w:r>
          </w:p>
        </w:tc>
        <w:tc>
          <w:tcPr>
            <w:tcW w:type="dxa" w:w="5421"/>
          </w:tcPr>
          <w:p>
            <w:r/>
            <w:r>
              <w:rPr>
                <w:rFonts w:ascii="맑은 고딕" w:hAnsi="맑은 고딕" w:eastAsia="맑은 고딕"/>
                <w:sz w:val="19"/>
              </w:rPr>
              <w:t>12개월 유지관리(월간 보고·분기 점검·스킬 15종 무상 갱신)로 서비스 공백을 차단한다</w:t>
            </w:r>
          </w:p>
        </w:tc>
        <w:tc>
          <w:tcPr>
            <w:tcW w:type="dxa" w:w="2650"/>
          </w:tcPr>
          <w:p>
            <w:r/>
            <w:r>
              <w:rPr>
                <w:rFonts w:ascii="맑은 고딕" w:hAnsi="맑은 고딕" w:eastAsia="맑은 고딕"/>
                <w:sz w:val="19"/>
              </w:rPr>
              <w:t>월간 운영보고서(PMR-002)</w:t>
            </w:r>
          </w:p>
        </w:tc>
      </w:tr>
    </w:tbl>
    <w:p>
      <w:pPr>
        <w:pStyle w:val="Note"/>
      </w:pPr>
    </w:p>
    <w:p>
      <w:pPr>
        <w:pStyle w:val="Heading2"/>
      </w:pPr>
      <w:r>
        <w:t>Ⅱ-7. 개발 방법론</w:t>
      </w:r>
    </w:p>
    <w:p>
      <w:pPr/>
      <w:r>
        <w:t>본 사업 규모(총 사업기간 16주)에서는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5703750"/>
            <wp:docPr id="6" name="Picture 6"/>
            <wp:cNvGraphicFramePr>
              <a:graphicFrameLocks noChangeAspect="1"/>
            </wp:cNvGraphicFramePr>
            <a:graphic>
              <a:graphicData uri="http://schemas.openxmlformats.org/drawingml/2006/picture">
                <pic:pic>
                  <pic:nvPicPr>
                    <pic:cNvPr id="0" name="arch_c.png"/>
                    <pic:cNvPicPr/>
                  </pic:nvPicPr>
                  <pic:blipFill>
                    <a:blip r:embed="rId15"/>
                    <a:stretch>
                      <a:fillRect/>
                    </a:stretch>
                  </pic:blipFill>
                  <pic:spPr>
                    <a:xfrm>
                      <a:off x="0" y="0"/>
                      <a:ext cx="5400000" cy="5703750"/>
                    </a:xfrm>
                    <a:prstGeom prst="rect"/>
                  </pic:spPr>
                </pic:pic>
              </a:graphicData>
            </a:graphic>
          </wp:inline>
        </w:drawing>
      </w:r>
    </w:p>
    <w:p>
      <w:pPr>
        <w:pStyle w:val="Caption2"/>
        <w:jc w:val="center"/>
      </w:pPr>
      <w:r>
        <w:t>[그림 5] AI 계층이 의미 검색·추천·체험을 담당하고, 외부 AI 장애 시 기본 검색으로 대체 동작한다 (SFR-004 · SFR-005 · SFR-006 · ECR-001)</w:t>
      </w:r>
    </w:p>
    <w:p>
      <w:pPr>
        <w:pStyle w:val="Heading2"/>
      </w:pPr>
      <w:r>
        <w:t>Ⅲ-2. 기능 요구사항 구현방안 — 교원이 검색 한 번으로 스킬에 도달하는 포털</w:t>
      </w:r>
    </w:p>
    <w:p>
      <w:pPr>
        <w:pStyle w:val="Heading3"/>
      </w:pPr>
      <w:r>
        <w:t>가. 스킬 탐색 — 4축 분류·컬렉션·미리보기</w:t>
      </w:r>
    </w:p>
    <w:p>
      <w:pPr>
        <w:pStyle w:val="IdBadge"/>
        <w:shd w:val="clear" w:fill="EEF2F7"/>
      </w:pPr>
      <w:r>
        <w:t>[대응 요구사항: SFR-001 · SFR-002 · SFR-003 · SFR-007]</w:t>
      </w:r>
    </w:p>
    <w:p>
      <w:pPr/>
      <w:r>
        <w:t>요구 분석 — 40종 규모에서는 분류·검색·큐레이션이 함께 있어야 탐색이 성립한다. 교원은 분류 체계가 아니라 문장으로 필요를 표현하므로, 전통 탐색은 AI 검색(나 항목)의 안전망 역할을 겸한다.</w:t>
      </w:r>
    </w:p>
    <w:p>
      <w:pPr/>
      <w:r>
        <w:t>· 학교급·교과·업무유형·활용도구 4축 분류와 큐레이션 컬렉션을 제공한다(SFR-002).</w:t>
      </w:r>
    </w:p>
    <w:p>
      <w:pPr/>
      <w:r>
        <w:t>· 키워드 검색·다중 조건 필터·3종 정렬을 제공한다(SFR-003).</w:t>
      </w:r>
    </w:p>
    <w:p>
      <w:pPr/>
      <w:r>
        <w:t>· README 형식 설명 문서를 서식 유지 상태로 미리보기 렌더링한다(SFR-007).</w:t>
      </w:r>
    </w:p>
    <w:p>
      <w:pPr>
        <w:pStyle w:val="Note"/>
      </w:pPr>
      <w:r>
        <w:t>적용 기술: 다중 필터 색인 + 마크다운 렌더러</w:t>
      </w:r>
    </w:p>
    <w:p>
      <w:pPr>
        <w:pStyle w:val="Heading3"/>
      </w:pPr>
      <w:r>
        <w:t>나. AI 자연어 검색·맞춤 추천</w:t>
      </w:r>
    </w:p>
    <w:p>
      <w:pPr>
        <w:pStyle w:val="IdBadge"/>
        <w:shd w:val="clear" w:fill="EEF2F7"/>
      </w:pPr>
      <w:r>
        <w:t>[대응 요구사항: SFR-004 · SFR-005 · ECR-001]</w:t>
      </w:r>
    </w:p>
    <w:p>
      <w:pPr/>
      <w:r>
        <w:t>요구 분석 — "중학교 2학년 과학 수행평가 문항을 만들고 싶다"라는 문장이 곧 검색어다. 임베딩 의미 검색과 키워드 검색을 결합한 혼합 방식이 재현율과 정확도를 함께 잡는다.</w:t>
      </w:r>
    </w:p>
    <w:p>
      <w:pPr/>
      <w:r>
        <w:t>· 스킬 표준 서식 전체를 임베딩해 의미 검색을 구현하고, 키워드 일치 결과와 결합한 혼합 순위를 적용한다(SFR-004).</w:t>
      </w:r>
    </w:p>
    <w:p>
      <w:pPr/>
      <w:r>
        <w:t>· 검색 품질은 대표 질의 30건으로 평가해 결과서를 제출한다(QUR-003) — 13주차 평가 후 임계 미달 항목은 가중치·색인을 보강한다.</w:t>
      </w:r>
    </w:p>
    <w:p>
      <w:pPr/>
      <w:r>
        <w:t>· 이용자의 소속 학교급·교과와 열람 이력을 근거로 메인 맞춤 추천과 상세 하단 관련 스킬을 노출한다(SFR-005).</w:t>
      </w:r>
    </w:p>
    <w:p>
      <w:pPr/>
      <w:r>
        <w:t>· 외부 AI 서비스 장애 시 키워드 검색·기본 목록으로 대체 동작한다(ECR-001) — 장애가 서비스 중단이 되지 않게 한다.</w:t>
      </w:r>
    </w:p>
    <w:p>
      <w:pPr/>
      <w:r>
        <w:t>· 검색어 로그를 수집해 미보유 자료 영역을 관리자가 확인한다(SFR-014 연계).</w:t>
      </w:r>
    </w:p>
    <w:p>
      <w:pPr>
        <w:pStyle w:val="Note"/>
      </w:pPr>
      <w:r>
        <w:t>적용 기술: 임베딩 색인(pgvector) + 혼합 랭킹 + 장애 감지 폴백</w:t>
      </w:r>
    </w:p>
    <w:p>
      <w:pPr>
        <w:jc w:val="center"/>
      </w:pPr>
      <w:r>
        <w:drawing>
          <wp:inline xmlns:a="http://schemas.openxmlformats.org/drawingml/2006/main" xmlns:pic="http://schemas.openxmlformats.org/drawingml/2006/picture">
            <wp:extent cx="5400000" cy="4318945"/>
            <wp:docPr id="7" name="Picture 7"/>
            <wp:cNvGraphicFramePr>
              <a:graphicFrameLocks noChangeAspect="1"/>
            </wp:cNvGraphicFramePr>
            <a:graphic>
              <a:graphicData uri="http://schemas.openxmlformats.org/drawingml/2006/picture">
                <pic:pic>
                  <pic:nvPicPr>
                    <pic:cNvPr id="0" name="c_search.png"/>
                    <pic:cNvPicPr/>
                  </pic:nvPicPr>
                  <pic:blipFill>
                    <a:blip r:embed="rId16"/>
                    <a:stretch>
                      <a:fillRect/>
                    </a:stretch>
                  </pic:blipFill>
                  <pic:spPr>
                    <a:xfrm>
                      <a:off x="0" y="0"/>
                      <a:ext cx="5400000" cy="4318945"/>
                    </a:xfrm>
                    <a:prstGeom prst="rect"/>
                  </pic:spPr>
                </pic:pic>
              </a:graphicData>
            </a:graphic>
          </wp:inline>
        </w:drawing>
      </w:r>
    </w:p>
    <w:p>
      <w:pPr>
        <w:pStyle w:val="Caption2"/>
        <w:jc w:val="center"/>
      </w:pPr>
      <w:r>
        <w:t>[그림 6] 교원이 문장으로 물으면 적합한 스킬이 추천 이유와 함께 제시된다 (SFR-004 · SFR-005)</w:t>
      </w:r>
    </w:p>
    <w:p>
      <w:pPr>
        <w:pStyle w:val="Heading3"/>
      </w:pPr>
      <w:r>
        <w:t>다. 브라우저 내 체험</w:t>
      </w:r>
    </w:p>
    <w:p>
      <w:pPr>
        <w:pStyle w:val="IdBadge"/>
        <w:shd w:val="clear" w:fill="EEF2F7"/>
      </w:pPr>
      <w:r>
        <w:t>[대응 요구사항: SFR-006 · SER-003]</w:t>
      </w:r>
    </w:p>
    <w:p>
      <w:pPr/>
      <w:r>
        <w:t>요구 분석 — 내려받기 전에 '내 업무에 되는지'를 확인시키는 체험이 확산의 가속 장치다. 동시에 외부 AI 로의 개인정보 전송이라는 가장 민감한 지점이므로 통제를 내장해 설계한다.</w:t>
      </w:r>
    </w:p>
    <w:p>
      <w:pPr/>
      <w:r>
        <w:t>· 대표 스킬 3종을 설치 없이 브라우저에서 입력·실행·결과 확인한다(SFR-006).</w:t>
      </w:r>
    </w:p>
    <w:p>
      <w:pPr/>
      <w:r>
        <w:t>· 이용량 상한(계정·일자별)과 오·남용 방지 정책을 수립해 적용하고, 초과 시 자동 차단한다(SFR-006).</w:t>
      </w:r>
    </w:p>
    <w:p>
      <w:pPr/>
      <w:r>
        <w:t>· 입력 단계에서 개인정보 미입력 안내를 상시 노출하고, 전송 전 개인정보 패턴(성명·연락처·주민등록번호 형식)을 필터링한다(SER-003).</w:t>
      </w:r>
    </w:p>
    <w:p>
      <w:pPr/>
      <w:r>
        <w:t>· 외부 AI 이용료는 준공 후 12개월분을 사업비에 포함했다(Ⅶ장 산출내역).</w:t>
      </w:r>
    </w:p>
    <w:p>
      <w:pPr>
        <w:pStyle w:val="Note"/>
      </w:pPr>
      <w:r>
        <w:t>적용 기술: 체험 게이트웨이(율리밋·필터) + 외부 AI API</w:t>
      </w:r>
    </w:p>
    <w:p>
      <w:pPr>
        <w:jc w:val="center"/>
      </w:pPr>
      <w:r>
        <w:drawing>
          <wp:inline xmlns:a="http://schemas.openxmlformats.org/drawingml/2006/main" xmlns:pic="http://schemas.openxmlformats.org/drawingml/2006/picture">
            <wp:extent cx="5400000" cy="4317574"/>
            <wp:docPr id="8" name="Picture 8"/>
            <wp:cNvGraphicFramePr>
              <a:graphicFrameLocks noChangeAspect="1"/>
            </wp:cNvGraphicFramePr>
            <a:graphic>
              <a:graphicData uri="http://schemas.openxmlformats.org/drawingml/2006/picture">
                <pic:pic>
                  <pic:nvPicPr>
                    <pic:cNvPr id="0" name="c_tryout.png"/>
                    <pic:cNvPicPr/>
                  </pic:nvPicPr>
                  <pic:blipFill>
                    <a:blip r:embed="rId17"/>
                    <a:stretch>
                      <a:fillRect/>
                    </a:stretch>
                  </pic:blipFill>
                  <pic:spPr>
                    <a:xfrm>
                      <a:off x="0" y="0"/>
                      <a:ext cx="5400000" cy="4317574"/>
                    </a:xfrm>
                    <a:prstGeom prst="rect"/>
                  </pic:spPr>
                </pic:pic>
              </a:graphicData>
            </a:graphic>
          </wp:inline>
        </w:drawing>
      </w:r>
    </w:p>
    <w:p>
      <w:pPr>
        <w:pStyle w:val="Caption2"/>
        <w:jc w:val="center"/>
      </w:pPr>
      <w:r>
        <w:t>[그림 7] 설치 없이 브라우저에서 스킬을 체험한다 — 이용량 상한과 개인정보 필터링을 내장한다 (SFR-006 · SER-003)</w:t>
      </w:r>
    </w:p>
    <w:p>
      <w:pPr>
        <w:pStyle w:val="Heading3"/>
      </w:pPr>
      <w:r>
        <w:t>라. 회원·참여·버전</w:t>
      </w:r>
    </w:p>
    <w:p>
      <w:pPr>
        <w:pStyle w:val="IdBadge"/>
        <w:shd w:val="clear" w:fill="EEF2F7"/>
      </w:pPr>
      <w:r>
        <w:t>[대응 요구사항: SFR-008 · SFR-009 · SFR-010]</w:t>
      </w:r>
    </w:p>
    <w:p>
      <w:pPr/>
      <w:r>
        <w:t>요구 분석 — 교원·검수자·관리자 3단계 권한이 콘텐츠 품질 관리(검수 워크플로)를 시스템 안으로 가져온다.</w:t>
      </w:r>
    </w:p>
    <w:p>
      <w:pPr/>
      <w:r>
        <w:t>· 자체 회원 또는 지정 인증수단 연동 로그인과 3단계 권한을 제공한다(SFR-008) — PENZ(2026.9 전면 도입 예정) 연동을 1순위 후보로 설계한다.</w:t>
      </w:r>
    </w:p>
    <w:p>
      <w:pPr/>
      <w:r>
        <w:t>· 즐겨찾기·5단계 평점·후기·신고·숨김을 제공한다(SFR-009).</w:t>
      </w:r>
    </w:p>
    <w:p>
      <w:pPr/>
      <w:r>
        <w:t>· 개정 이력 관리·이전 버전 조회·개정 알림을 제공한다(SFR-010).</w:t>
      </w:r>
    </w:p>
    <w:p>
      <w:pPr>
        <w:pStyle w:val="Note"/>
      </w:pPr>
      <w:r>
        <w:t>적용 기술: 역할 기반 접근 제어 + 버전 스냅숏 + 알림 큐</w:t>
      </w:r>
    </w:p>
    <w:p>
      <w:pPr>
        <w:pStyle w:val="Heading3"/>
      </w:pPr>
      <w:r>
        <w:t>마. 관리자 — 운영·대시보드</w:t>
      </w:r>
    </w:p>
    <w:p>
      <w:pPr>
        <w:pStyle w:val="IdBadge"/>
        <w:shd w:val="clear" w:fill="EEF2F7"/>
      </w:pPr>
      <w:r>
        <w:t>[대응 요구사항: SFR-011 · SFR-012 · SFR-013 · SFR-014]</w:t>
      </w:r>
    </w:p>
    <w:p>
      <w:pPr/>
      <w:r>
        <w:t>요구 분석 — 검색어 로그와 이용 통계가 '다음에 만들 스킬'을 알려주는 운영 데이터가 된다.</w:t>
      </w:r>
    </w:p>
    <w:p>
      <w:pPr/>
      <w:r>
        <w:t>· 다운로드·복사 집계(SFR-011), 콘텐츠 일괄 등록(SFR-012), 회원·후기 관리(SFR-013)를 제공한다.</w:t>
      </w:r>
    </w:p>
    <w:p>
      <w:pPr/>
      <w:r>
        <w:t>· 조회·다운로드·평점·검색어 현황을 시각화한 대시보드와 기간·학교급·업무유형별 엑셀 내려받기를 제공한다(SFR-014).</w:t>
      </w:r>
    </w:p>
    <w:p>
      <w:pPr/>
      <w:r>
        <w:t>· '결과 없음 검색어' 목록을 스킬 제작 후보로 연결해 유지관리 기간의 콘텐츠 갱신 우선순위를 데이터로 정한다.</w:t>
      </w:r>
    </w:p>
    <w:p>
      <w:pPr>
        <w:pStyle w:val="Note"/>
      </w:pPr>
      <w:r>
        <w:t>적용 기술: 대시보드 집계 + 검색 로그 파이프라인</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c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검색어 로그가 다음에 만들 스킬을 알려준다 — 미보유 영역을 데이터로 확인한다 (SFR-014 · QUR-003)</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PostgreSQL(+pgvector 임베딩 색인) + Nginx(공용 클라우드). 외부 AI API 는 체험 게이트웨이 뒤에 두어 키·이용량·필터링을 서버에서 통제한다.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 · SER-003]</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Ⅲ-4의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40종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10종, 평가·피드백 9종, 학급 경영 6종, 교육행정 문서 7종, 특수교육·상담 4종, 학교 실무 기타 4종 — 최종 배분은 교원 요구조사(설문 100명·인터뷰 10회) 결과를 반영해 발주기관과 협의 확정합니다. 각 스킬은 상용 생성형 AI 3종 이상에서 동작을 확인해 서비스별 차이를 기록하고, 현직 교원 5인 이상 검수 의견과 반영 결과를 문서로 제출합니다.</w:t>
      </w:r>
    </w:p>
    <w:p>
      <w:r>
        <w:br w:type="page"/>
      </w:r>
    </w:p>
    <w:p>
      <w:pPr>
        <w:pStyle w:val="Heading1"/>
      </w:pPr>
      <w:r>
        <w:t>Ⅳ. 성능 및 품질</w:t>
      </w:r>
    </w:p>
    <w:p>
      <w:pPr>
        <w:pStyle w:val="IdBadge"/>
        <w:shd w:val="clear" w:fill="EEF2F7"/>
      </w:pPr>
      <w:r>
        <w:t>[대응 요구사항: QUR-001 · QUR-002 · QUR-003]</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명가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r>
        <w:tc>
          <w:tcPr>
            <w:tcW w:type="dxa" w:w="1566"/>
          </w:tcPr>
          <w:p>
            <w:r/>
            <w:r>
              <w:rPr>
                <w:rFonts w:ascii="맑은 고딕" w:hAnsi="맑은 고딕" w:eastAsia="맑은 고딕"/>
                <w:sz w:val="19"/>
              </w:rPr>
              <w:t>검색 품질</w:t>
            </w:r>
          </w:p>
        </w:tc>
        <w:tc>
          <w:tcPr>
            <w:tcW w:type="dxa" w:w="3976"/>
          </w:tcPr>
          <w:p>
            <w:r/>
            <w:r>
              <w:rPr>
                <w:rFonts w:ascii="맑은 고딕" w:hAnsi="맑은 고딕" w:eastAsia="맑은 고딕"/>
                <w:sz w:val="19"/>
              </w:rPr>
              <w:t>대표 질의 30건 검색 정확도 평가 — 평가 기준·결과를 결과서로 제출</w:t>
            </w:r>
          </w:p>
        </w:tc>
        <w:tc>
          <w:tcPr>
            <w:tcW w:type="dxa" w:w="2771"/>
          </w:tcPr>
          <w:p>
            <w:r/>
            <w:r>
              <w:rPr>
                <w:rFonts w:ascii="맑은 고딕" w:hAnsi="맑은 고딕" w:eastAsia="맑은 고딕"/>
                <w:sz w:val="19"/>
              </w:rPr>
              <w:t>검색 품질 평가 결과서(13주차)</w:t>
            </w:r>
          </w:p>
        </w:tc>
        <w:tc>
          <w:tcPr>
            <w:tcW w:type="dxa" w:w="1325"/>
          </w:tcPr>
          <w:p>
            <w:r/>
            <w:r>
              <w:rPr>
                <w:rFonts w:ascii="맑은 고딕" w:hAnsi="맑은 고딕" w:eastAsia="맑은 고딕"/>
                <w:sz w:val="19"/>
              </w:rPr>
              <w:t>QUR-003</w:t>
            </w:r>
          </w:p>
        </w:tc>
      </w:tr>
      <w:tr>
        <w:tc>
          <w:tcPr>
            <w:tcW w:type="dxa" w:w="1566"/>
          </w:tcPr>
          <w:p>
            <w:r/>
            <w:r>
              <w:rPr>
                <w:rFonts w:ascii="맑은 고딕" w:hAnsi="맑은 고딕" w:eastAsia="맑은 고딕"/>
                <w:sz w:val="19"/>
              </w:rPr>
              <w:t>체험 안전</w:t>
            </w:r>
          </w:p>
        </w:tc>
        <w:tc>
          <w:tcPr>
            <w:tcW w:type="dxa" w:w="3976"/>
          </w:tcPr>
          <w:p>
            <w:r/>
            <w:r>
              <w:rPr>
                <w:rFonts w:ascii="맑은 고딕" w:hAnsi="맑은 고딕" w:eastAsia="맑은 고딕"/>
                <w:sz w:val="19"/>
              </w:rPr>
              <w:t>개인정보 패턴 필터링 동작과 이용량 상한 차단을 시나리오 시험</w:t>
            </w:r>
          </w:p>
        </w:tc>
        <w:tc>
          <w:tcPr>
            <w:tcW w:type="dxa" w:w="2771"/>
          </w:tcPr>
          <w:p>
            <w:r/>
            <w:r>
              <w:rPr>
                <w:rFonts w:ascii="맑은 고딕" w:hAnsi="맑은 고딕" w:eastAsia="맑은 고딕"/>
                <w:sz w:val="19"/>
              </w:rPr>
              <w:t>시험결과서</w:t>
            </w:r>
          </w:p>
        </w:tc>
        <w:tc>
          <w:tcPr>
            <w:tcW w:type="dxa" w:w="1325"/>
          </w:tcPr>
          <w:p>
            <w:r/>
            <w:r>
              <w:rPr>
                <w:rFonts w:ascii="맑은 고딕" w:hAnsi="맑은 고딕" w:eastAsia="맑은 고딕"/>
                <w:sz w:val="19"/>
              </w:rPr>
              <w:t>SER-003</w:t>
            </w:r>
          </w:p>
        </w:tc>
      </w:tr>
    </w:tbl>
    <w:p>
      <w:pPr>
        <w:pStyle w:val="Note"/>
      </w:pPr>
    </w:p>
    <w:p>
      <w:r>
        <w:br w:type="page"/>
      </w:r>
    </w:p>
    <w:p>
      <w:pPr>
        <w:pStyle w:val="Heading1"/>
      </w:pPr>
      <w:r>
        <w:t>Ⅴ. 프로젝트 관리</w:t>
      </w:r>
    </w:p>
    <w:p>
      <w:pPr>
        <w:pStyle w:val="IdBadge"/>
        <w:shd w:val="clear" w:fill="EEF2F7"/>
      </w:pPr>
      <w:r>
        <w:t>[대응 요구사항: PMR-001 · PMR-002]</w:t>
      </w:r>
    </w:p>
    <w:p>
      <w:pPr>
        <w:pStyle w:val="Heading2"/>
      </w:pPr>
      <w:r>
        <w:t>Ⅴ-1. 추진 일정</w:t>
      </w:r>
    </w:p>
    <w:p>
      <w:pPr>
        <w:jc w:val="center"/>
      </w:pPr>
      <w:r>
        <w:drawing>
          <wp:inline xmlns:a="http://schemas.openxmlformats.org/drawingml/2006/main" xmlns:pic="http://schemas.openxmlformats.org/drawingml/2006/picture">
            <wp:extent cx="5760000" cy="4671000"/>
            <wp:docPr id="11" name="Picture 11"/>
            <wp:cNvGraphicFramePr>
              <a:graphicFrameLocks noChangeAspect="1"/>
            </wp:cNvGraphicFramePr>
            <a:graphic>
              <a:graphicData uri="http://schemas.openxmlformats.org/drawingml/2006/picture">
                <pic:pic>
                  <pic:nvPicPr>
                    <pic:cNvPr id="0" name="gantt_c.png"/>
                    <pic:cNvPicPr/>
                  </pic:nvPicPr>
                  <pic:blipFill>
                    <a:blip r:embed="rId20"/>
                    <a:stretch>
                      <a:fillRect/>
                    </a:stretch>
                  </pic:blipFill>
                  <pic:spPr>
                    <a:xfrm>
                      <a:off x="0" y="0"/>
                      <a:ext cx="5760000" cy="4671000"/>
                    </a:xfrm>
                    <a:prstGeom prst="rect"/>
                  </pic:spPr>
                </pic:pic>
              </a:graphicData>
            </a:graphic>
          </wp:inline>
        </w:drawing>
      </w:r>
    </w:p>
    <w:p>
      <w:pPr>
        <w:pStyle w:val="Caption2"/>
        <w:jc w:val="center"/>
      </w:pPr>
      <w:r>
        <w:t>[그림 10]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사례조사(10개 이상), 교원 요구조사(설문 100명·인터뷰 10회)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정보구조 설계, 화면설계서, 디자인 시안(메인 3안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개발(1차)</w:t>
            </w:r>
          </w:p>
        </w:tc>
        <w:tc>
          <w:tcPr>
            <w:tcW w:type="dxa" w:w="1446"/>
          </w:tcPr>
          <w:p>
            <w:r/>
            <w:r>
              <w:rPr>
                <w:rFonts w:ascii="맑은 고딕" w:hAnsi="맑은 고딕" w:eastAsia="맑은 고딕"/>
                <w:sz w:val="19"/>
              </w:rPr>
              <w:t>6~11주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개발(2차)</w:t>
            </w:r>
          </w:p>
        </w:tc>
        <w:tc>
          <w:tcPr>
            <w:tcW w:type="dxa" w:w="1446"/>
          </w:tcPr>
          <w:p>
            <w:r/>
            <w:r>
              <w:rPr>
                <w:rFonts w:ascii="맑은 고딕" w:hAnsi="맑은 고딕" w:eastAsia="맑은 고딕"/>
                <w:sz w:val="19"/>
              </w:rPr>
              <w:t>10~13주</w:t>
            </w:r>
          </w:p>
        </w:tc>
        <w:tc>
          <w:tcPr>
            <w:tcW w:type="dxa" w:w="5301"/>
          </w:tcPr>
          <w:p>
            <w:r/>
            <w:r>
              <w:rPr>
                <w:rFonts w:ascii="맑은 고딕" w:hAnsi="맑은 고딕" w:eastAsia="맑은 고딕"/>
                <w:sz w:val="19"/>
              </w:rPr>
              <w:t>AI 자연어 검색·추천·체험 기능 개발 및 검색 품질 평가</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4~12주</w:t>
            </w:r>
          </w:p>
        </w:tc>
        <w:tc>
          <w:tcPr>
            <w:tcW w:type="dxa" w:w="5301"/>
          </w:tcPr>
          <w:p>
            <w:r/>
            <w:r>
              <w:rPr>
                <w:rFonts w:ascii="맑은 고딕" w:hAnsi="맑은 고딕" w:eastAsia="맑은 고딕"/>
                <w:sz w:val="19"/>
              </w:rPr>
              <w:t>스킬 40종 제작 및 현직 교원 5인 이상 검수</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13~14주</w:t>
            </w:r>
          </w:p>
        </w:tc>
        <w:tc>
          <w:tcPr>
            <w:tcW w:type="dxa" w:w="5301"/>
          </w:tcPr>
          <w:p>
            <w:r/>
            <w:r>
              <w:rPr>
                <w:rFonts w:ascii="맑은 고딕" w:hAnsi="맑은 고딕" w:eastAsia="맑은 고딕"/>
                <w:sz w:val="19"/>
              </w:rPr>
              <w:t>통합시험, 웹 취약점 점검, 접근성 자체 점검, 클라우드 배포</w:t>
            </w:r>
          </w:p>
        </w:tc>
      </w:tr>
      <w:tr>
        <w:tc>
          <w:tcPr>
            <w:tcW w:type="dxa" w:w="1084"/>
          </w:tcPr>
          <w:p>
            <w:r/>
            <w:r>
              <w:rPr>
                <w:rFonts w:ascii="맑은 고딕" w:hAnsi="맑은 고딕" w:eastAsia="맑은 고딕"/>
                <w:sz w:val="19"/>
              </w:rPr>
              <w:t>7단계</w:t>
            </w:r>
          </w:p>
        </w:tc>
        <w:tc>
          <w:tcPr>
            <w:tcW w:type="dxa" w:w="1807"/>
          </w:tcPr>
          <w:p>
            <w:r/>
            <w:r>
              <w:rPr>
                <w:rFonts w:ascii="맑은 고딕" w:hAnsi="맑은 고딕" w:eastAsia="맑은 고딕"/>
                <w:sz w:val="19"/>
              </w:rPr>
              <w:t>연수 운영</w:t>
            </w:r>
          </w:p>
        </w:tc>
        <w:tc>
          <w:tcPr>
            <w:tcW w:type="dxa" w:w="1446"/>
          </w:tcPr>
          <w:p>
            <w:r/>
            <w:r>
              <w:rPr>
                <w:rFonts w:ascii="맑은 고딕" w:hAnsi="맑은 고딕" w:eastAsia="맑은 고딕"/>
                <w:sz w:val="19"/>
              </w:rPr>
              <w:t>14~16주</w:t>
            </w:r>
          </w:p>
        </w:tc>
        <w:tc>
          <w:tcPr>
            <w:tcW w:type="dxa" w:w="5301"/>
          </w:tcPr>
          <w:p>
            <w:r/>
            <w:r>
              <w:rPr>
                <w:rFonts w:ascii="맑은 고딕" w:hAnsi="맑은 고딕" w:eastAsia="맑은 고딕"/>
                <w:sz w:val="19"/>
              </w:rPr>
              <w:t>직무연수 15시간 운영, 안내 영상 5편 게시</w:t>
            </w:r>
          </w:p>
        </w:tc>
      </w:tr>
      <w:tr>
        <w:tc>
          <w:tcPr>
            <w:tcW w:type="dxa" w:w="1084"/>
          </w:tcPr>
          <w:p>
            <w:r/>
            <w:r>
              <w:rPr>
                <w:rFonts w:ascii="맑은 고딕" w:hAnsi="맑은 고딕" w:eastAsia="맑은 고딕"/>
                <w:sz w:val="19"/>
              </w:rPr>
              <w:t>8단계</w:t>
            </w:r>
          </w:p>
        </w:tc>
        <w:tc>
          <w:tcPr>
            <w:tcW w:type="dxa" w:w="1807"/>
          </w:tcPr>
          <w:p>
            <w:r/>
            <w:r>
              <w:rPr>
                <w:rFonts w:ascii="맑은 고딕" w:hAnsi="맑은 고딕" w:eastAsia="맑은 고딕"/>
                <w:sz w:val="19"/>
              </w:rPr>
              <w:t>준공</w:t>
            </w:r>
          </w:p>
        </w:tc>
        <w:tc>
          <w:tcPr>
            <w:tcW w:type="dxa" w:w="1446"/>
          </w:tcPr>
          <w:p>
            <w:r/>
            <w:r>
              <w:rPr>
                <w:rFonts w:ascii="맑은 고딕" w:hAnsi="맑은 고딕" w:eastAsia="맑은 고딕"/>
                <w:sz w:val="19"/>
              </w:rPr>
              <w:t>16주</w:t>
            </w:r>
          </w:p>
        </w:tc>
        <w:tc>
          <w:tcPr>
            <w:tcW w:type="dxa" w:w="5301"/>
          </w:tcPr>
          <w:p>
            <w:r/>
            <w:r>
              <w:rPr>
                <w:rFonts w:ascii="맑은 고딕" w:hAnsi="맑은 고딕" w:eastAsia="맑은 고딕"/>
                <w:sz w:val="19"/>
              </w:rPr>
              <w:t>관리자 교육(6시간 이상), 완료보고 및 검수</w:t>
            </w:r>
          </w:p>
        </w:tc>
      </w:tr>
      <w:tr>
        <w:tc>
          <w:tcPr>
            <w:tcW w:type="dxa" w:w="1084"/>
          </w:tcPr>
          <w:p>
            <w:r/>
            <w:r>
              <w:rPr>
                <w:rFonts w:ascii="맑은 고딕" w:hAnsi="맑은 고딕" w:eastAsia="맑은 고딕"/>
                <w:sz w:val="19"/>
              </w:rPr>
              <w:t>운영</w:t>
            </w:r>
          </w:p>
        </w:tc>
        <w:tc>
          <w:tcPr>
            <w:tcW w:type="dxa" w:w="1807"/>
          </w:tcPr>
          <w:p>
            <w:r/>
            <w:r>
              <w:rPr>
                <w:rFonts w:ascii="맑은 고딕" w:hAnsi="맑은 고딕" w:eastAsia="맑은 고딕"/>
                <w:sz w:val="19"/>
              </w:rPr>
              <w:t>유지관리</w:t>
            </w:r>
          </w:p>
        </w:tc>
        <w:tc>
          <w:tcPr>
            <w:tcW w:type="dxa" w:w="1446"/>
          </w:tcPr>
          <w:p>
            <w:r/>
            <w:r>
              <w:rPr>
                <w:rFonts w:ascii="맑은 고딕" w:hAnsi="맑은 고딕" w:eastAsia="맑은 고딕"/>
                <w:sz w:val="19"/>
              </w:rPr>
              <w:t>준공 후 12개월</w:t>
            </w:r>
          </w:p>
        </w:tc>
        <w:tc>
          <w:tcPr>
            <w:tcW w:type="dxa" w:w="5301"/>
          </w:tcPr>
          <w:p>
            <w:r/>
            <w:r>
              <w:rPr>
                <w:rFonts w:ascii="맑은 고딕" w:hAnsi="맑은 고딕" w:eastAsia="맑은 고딕"/>
                <w:sz w:val="19"/>
              </w:rPr>
              <w:t>장애 대응, 오류 수정, 콘텐츠 갱신, 월간 보고·분기 점검회의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AI 기능 담당</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AI·데이터 분야 경력 3년 이상 또는 관련 실적</w:t>
            </w:r>
          </w:p>
        </w:tc>
        <w:tc>
          <w:tcPr>
            <w:tcW w:type="dxa" w:w="2771"/>
          </w:tcPr>
          <w:p>
            <w:r/>
            <w:r>
              <w:rPr>
                <w:rFonts w:ascii="맑은 고딕" w:hAnsi="맑은 고딕" w:eastAsia="맑은 고딕"/>
                <w:sz w:val="19"/>
              </w:rPr>
              <w:t>자연어 검색·추천·체험 기능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교원 연수 강의 실적</w:t>
            </w:r>
          </w:p>
        </w:tc>
        <w:tc>
          <w:tcPr>
            <w:tcW w:type="dxa" w:w="2771"/>
          </w:tcPr>
          <w:p>
            <w:r/>
            <w:r>
              <w:rPr>
                <w:rFonts w:ascii="맑은 고딕" w:hAnsi="맑은 고딕" w:eastAsia="맑은 고딕"/>
                <w:sz w:val="19"/>
              </w:rPr>
              <w:t>직무연수 설계 및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r>
        <w:tc>
          <w:tcPr>
            <w:tcW w:type="dxa" w:w="2638"/>
          </w:tcPr>
          <w:p>
            <w:r/>
            <w:r>
              <w:rPr>
                <w:rFonts w:ascii="맑은 고딕" w:hAnsi="맑은 고딕" w:eastAsia="맑은 고딕"/>
                <w:sz w:val="19"/>
              </w:rPr>
              <w:t>의미 검색 품질이 기준 미달</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대표 질의 30건 평가를 13주차에 실시하고 임계 미달 시 하이브리드 가중치·색인 보강(AI 담당)</w:t>
            </w:r>
          </w:p>
        </w:tc>
        <w:tc>
          <w:tcPr>
            <w:tcW w:type="dxa" w:w="2029"/>
          </w:tcPr>
          <w:p>
            <w:r/>
            <w:r>
              <w:rPr>
                <w:rFonts w:ascii="맑은 고딕" w:hAnsi="맑은 고딕" w:eastAsia="맑은 고딕"/>
                <w:sz w:val="19"/>
              </w:rPr>
              <w:t>키워드 검색 우선 노출로 대체 동작(ECR-001) 후 재평가</w:t>
            </w:r>
          </w:p>
        </w:tc>
      </w:tr>
      <w:tr>
        <w:tc>
          <w:tcPr>
            <w:tcW w:type="dxa" w:w="2638"/>
          </w:tcPr>
          <w:p>
            <w:r/>
            <w:r>
              <w:rPr>
                <w:rFonts w:ascii="맑은 고딕" w:hAnsi="맑은 고딕" w:eastAsia="맑은 고딕"/>
                <w:sz w:val="19"/>
              </w:rPr>
              <w:t>체험 기능 오·남용(이용량 급증)</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계정·일자별 이용량 상한과 자동 차단 정책을 개통 전 적용(AI 담당)</w:t>
            </w:r>
          </w:p>
        </w:tc>
        <w:tc>
          <w:tcPr>
            <w:tcW w:type="dxa" w:w="2029"/>
          </w:tcPr>
          <w:p>
            <w:r/>
            <w:r>
              <w:rPr>
                <w:rFonts w:ascii="맑은 고딕" w:hAnsi="맑은 고딕" w:eastAsia="맑은 고딕"/>
                <w:sz w:val="19"/>
              </w:rPr>
              <w:t>상한 조정은 발주기관과 협의해 운영 정책으로 관리</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교육(6시간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 · PSR-002]</w:t>
      </w:r>
    </w:p>
    <w:p>
      <w:pPr/>
      <w:r>
        <w:t>총 15시간(1학점 상당) 직무연수 1기수(30명 내외)를 운영합니다. 과정계획서·차시별 지도안·교재(인쇄·전자)를 제작해 제출하고, 연수 장소는 발주기관이 제공하며 실습 환경 구성과 강사 운영은 수행사가 담당합니다(PSR-001). 학점 인정 절차가 필요하면 관련 서류 작성을 지원합니다.</w:t>
      </w:r>
    </w:p>
    <w:tbl>
      <w:tblPr>
        <w:tblStyle w:val="TableGrid"/>
        <w:tblW w:type="auto" w:w="0"/>
        <w:jc w:val="center"/>
        <w:tblLook w:firstColumn="1" w:firstRow="1" w:lastColumn="0" w:lastRow="0" w:noHBand="0" w:noVBand="1" w:val="04A0"/>
      </w:tblPr>
      <w:tblGrid>
        <w:gridCol w:w="3213"/>
        <w:gridCol w:w="3213"/>
        <w:gridCol w:w="3213"/>
      </w:tblGrid>
      <w:tr>
        <w:tc>
          <w:tcPr>
            <w:tcW w:type="dxa" w:w="1325"/>
            <w:shd w:val="clear" w:fill="1F3A5F"/>
          </w:tcPr>
          <w:p>
            <w:r/>
            <w:r>
              <w:rPr>
                <w:rFonts w:ascii="맑은 고딕" w:hAnsi="맑은 고딕" w:eastAsia="맑은 고딕"/>
                <w:b/>
                <w:color w:val="FFFFFF"/>
                <w:sz w:val="19"/>
              </w:rPr>
              <w:t>차시</w:t>
            </w:r>
          </w:p>
        </w:tc>
        <w:tc>
          <w:tcPr>
            <w:tcW w:type="dxa" w:w="2891"/>
            <w:shd w:val="clear" w:fill="1F3A5F"/>
          </w:tcPr>
          <w:p>
            <w:r/>
            <w:r>
              <w:rPr>
                <w:rFonts w:ascii="맑은 고딕" w:hAnsi="맑은 고딕" w:eastAsia="맑은 고딕"/>
                <w:b/>
                <w:color w:val="FFFFFF"/>
                <w:sz w:val="19"/>
              </w:rPr>
              <w:t>주제</w:t>
            </w:r>
          </w:p>
        </w:tc>
        <w:tc>
          <w:tcPr>
            <w:tcW w:type="dxa" w:w="5421"/>
            <w:shd w:val="clear" w:fill="1F3A5F"/>
          </w:tcPr>
          <w:p>
            <w:r/>
            <w:r>
              <w:rPr>
                <w:rFonts w:ascii="맑은 고딕" w:hAnsi="맑은 고딕" w:eastAsia="맑은 고딕"/>
                <w:b/>
                <w:color w:val="FFFFFF"/>
                <w:sz w:val="19"/>
              </w:rPr>
              <w:t>내용</w:t>
            </w:r>
          </w:p>
        </w:tc>
      </w:tr>
      <w:tr>
        <w:tc>
          <w:tcPr>
            <w:tcW w:type="dxa" w:w="1325"/>
          </w:tcPr>
          <w:p>
            <w:r/>
            <w:r>
              <w:rPr>
                <w:rFonts w:ascii="맑은 고딕" w:hAnsi="맑은 고딕" w:eastAsia="맑은 고딕"/>
                <w:sz w:val="19"/>
              </w:rPr>
              <w:t>1~3차시</w:t>
            </w:r>
          </w:p>
        </w:tc>
        <w:tc>
          <w:tcPr>
            <w:tcW w:type="dxa" w:w="2891"/>
          </w:tcPr>
          <w:p>
            <w:r/>
            <w:r>
              <w:rPr>
                <w:rFonts w:ascii="맑은 고딕" w:hAnsi="맑은 고딕" w:eastAsia="맑은 고딕"/>
                <w:sz w:val="19"/>
              </w:rPr>
              <w:t>생성형 AI 기초와 안전한 활용</w:t>
            </w:r>
          </w:p>
        </w:tc>
        <w:tc>
          <w:tcPr>
            <w:tcW w:type="dxa" w:w="5421"/>
          </w:tcPr>
          <w:p>
            <w:r/>
            <w:r>
              <w:rPr>
                <w:rFonts w:ascii="맑은 고딕" w:hAnsi="맑은 고딕" w:eastAsia="맑은 고딕"/>
                <w:sz w:val="19"/>
              </w:rPr>
              <w:t>AI 원리 이해, 개인정보·저작권 유의사항, 교육청 가이드라인</w:t>
            </w:r>
          </w:p>
        </w:tc>
      </w:tr>
      <w:tr>
        <w:tc>
          <w:tcPr>
            <w:tcW w:type="dxa" w:w="1325"/>
          </w:tcPr>
          <w:p>
            <w:r/>
            <w:r>
              <w:rPr>
                <w:rFonts w:ascii="맑은 고딕" w:hAnsi="맑은 고딕" w:eastAsia="맑은 고딕"/>
                <w:sz w:val="19"/>
              </w:rPr>
              <w:t>4~6차시</w:t>
            </w:r>
          </w:p>
        </w:tc>
        <w:tc>
          <w:tcPr>
            <w:tcW w:type="dxa" w:w="2891"/>
          </w:tcPr>
          <w:p>
            <w:r/>
            <w:r>
              <w:rPr>
                <w:rFonts w:ascii="맑은 고딕" w:hAnsi="맑은 고딕" w:eastAsia="맑은 고딕"/>
                <w:sz w:val="19"/>
              </w:rPr>
              <w:t>포털 활용</w:t>
            </w:r>
          </w:p>
        </w:tc>
        <w:tc>
          <w:tcPr>
            <w:tcW w:type="dxa" w:w="5421"/>
          </w:tcPr>
          <w:p>
            <w:r/>
            <w:r>
              <w:rPr>
                <w:rFonts w:ascii="맑은 고딕" w:hAnsi="맑은 고딕" w:eastAsia="맑은 고딕"/>
                <w:sz w:val="19"/>
              </w:rPr>
              <w:t>검색·체험·즐겨찾기 실습, 표준 서식 읽는 법</w:t>
            </w:r>
          </w:p>
        </w:tc>
      </w:tr>
      <w:tr>
        <w:tc>
          <w:tcPr>
            <w:tcW w:type="dxa" w:w="1325"/>
          </w:tcPr>
          <w:p>
            <w:r/>
            <w:r>
              <w:rPr>
                <w:rFonts w:ascii="맑은 고딕" w:hAnsi="맑은 고딕" w:eastAsia="맑은 고딕"/>
                <w:sz w:val="19"/>
              </w:rPr>
              <w:t>7~10차시</w:t>
            </w:r>
          </w:p>
        </w:tc>
        <w:tc>
          <w:tcPr>
            <w:tcW w:type="dxa" w:w="2891"/>
          </w:tcPr>
          <w:p>
            <w:r/>
            <w:r>
              <w:rPr>
                <w:rFonts w:ascii="맑은 고딕" w:hAnsi="맑은 고딕" w:eastAsia="맑은 고딕"/>
                <w:sz w:val="19"/>
              </w:rPr>
              <w:t>영역별 스킬 실습</w:t>
            </w:r>
          </w:p>
        </w:tc>
        <w:tc>
          <w:tcPr>
            <w:tcW w:type="dxa" w:w="5421"/>
          </w:tcPr>
          <w:p>
            <w:r/>
            <w:r>
              <w:rPr>
                <w:rFonts w:ascii="맑은 고딕" w:hAnsi="맑은 고딕" w:eastAsia="맑은 고딕"/>
                <w:sz w:val="19"/>
              </w:rPr>
              <w:t>수업 설계·평가·학급경영·행정 영역 대표 스킬 실습</w:t>
            </w:r>
          </w:p>
        </w:tc>
      </w:tr>
      <w:tr>
        <w:tc>
          <w:tcPr>
            <w:tcW w:type="dxa" w:w="1325"/>
          </w:tcPr>
          <w:p>
            <w:r/>
            <w:r>
              <w:rPr>
                <w:rFonts w:ascii="맑은 고딕" w:hAnsi="맑은 고딕" w:eastAsia="맑은 고딕"/>
                <w:sz w:val="19"/>
              </w:rPr>
              <w:t>11~14차시</w:t>
            </w:r>
          </w:p>
        </w:tc>
        <w:tc>
          <w:tcPr>
            <w:tcW w:type="dxa" w:w="2891"/>
          </w:tcPr>
          <w:p>
            <w:r/>
            <w:r>
              <w:rPr>
                <w:rFonts w:ascii="맑은 고딕" w:hAnsi="맑은 고딕" w:eastAsia="맑은 고딕"/>
                <w:sz w:val="19"/>
              </w:rPr>
              <w:t>내 업무 스킬 만들기</w:t>
            </w:r>
          </w:p>
        </w:tc>
        <w:tc>
          <w:tcPr>
            <w:tcW w:type="dxa" w:w="5421"/>
          </w:tcPr>
          <w:p>
            <w:r/>
            <w:r>
              <w:rPr>
                <w:rFonts w:ascii="맑은 고딕" w:hAnsi="맑은 고딕" w:eastAsia="맑은 고딕"/>
                <w:sz w:val="19"/>
              </w:rPr>
              <w:t>자기 업무 스킬 변형·제작 실습(산출물 제작)</w:t>
            </w:r>
          </w:p>
        </w:tc>
      </w:tr>
      <w:tr>
        <w:tc>
          <w:tcPr>
            <w:tcW w:type="dxa" w:w="1325"/>
          </w:tcPr>
          <w:p>
            <w:r/>
            <w:r>
              <w:rPr>
                <w:rFonts w:ascii="맑은 고딕" w:hAnsi="맑은 고딕" w:eastAsia="맑은 고딕"/>
                <w:sz w:val="19"/>
              </w:rPr>
              <w:t>15차시</w:t>
            </w:r>
          </w:p>
        </w:tc>
        <w:tc>
          <w:tcPr>
            <w:tcW w:type="dxa" w:w="2891"/>
          </w:tcPr>
          <w:p>
            <w:r/>
            <w:r>
              <w:rPr>
                <w:rFonts w:ascii="맑은 고딕" w:hAnsi="맑은 고딕" w:eastAsia="맑은 고딕"/>
                <w:sz w:val="19"/>
              </w:rPr>
              <w:t>공유·정리</w:t>
            </w:r>
          </w:p>
        </w:tc>
        <w:tc>
          <w:tcPr>
            <w:tcW w:type="dxa" w:w="5421"/>
          </w:tcPr>
          <w:p>
            <w:r/>
            <w:r>
              <w:rPr>
                <w:rFonts w:ascii="맑은 고딕" w:hAnsi="맑은 고딕" w:eastAsia="맑은 고딕"/>
                <w:sz w:val="19"/>
              </w:rPr>
              <w:t>제작 스킬 발표, 포털 등록 절차, 사후 자기평가</w:t>
            </w:r>
          </w:p>
        </w:tc>
      </w:tr>
    </w:tbl>
    <w:p>
      <w:pPr>
        <w:pStyle w:val="Note"/>
      </w:pPr>
    </w:p>
    <w:p>
      <w:pPr/>
      <w:r>
        <w:t>연수 종료 시 참여 교원이 자신의 업무에 맞는 스킬 결과물을 직접 제작해 산출하도록 과정을 설계했습니다 — 연수 산출물이 포털의 신규 콘텐츠 후보가 되는 순환 구조입니다. 만족도 조사와 사전·사후 역량 자기평가를 실시해 분석 결과를 보고합니다.</w:t>
      </w:r>
    </w:p>
    <w:p>
      <w:pPr>
        <w:pStyle w:val="Note"/>
      </w:pPr>
      <w:r>
        <w:t>안내 영상 5편(편당 5분 내외, 자막 포함)을 제작해 포털에 게시합니다(PSR-002): 포털 소개 / 검색·체험 / 수업 활용 / 행정 활용 / 안전 활용 기준.</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2.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직무연수 참여 교원은 자신의 업무에 맞는 스킬을 직접 제작해 산출한다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12개월 유지관리(월간 보고·분기 점검회의) 후 운영 이관</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pPr>
        <w:pStyle w:val="Heading2"/>
      </w:pPr>
      <w:r>
        <w:t>Ⅵ-6. 12개월 유지관리 체계</w:t>
      </w:r>
    </w:p>
    <w:p>
      <w:pPr>
        <w:pStyle w:val="IdBadge"/>
        <w:shd w:val="clear" w:fill="EEF2F7"/>
      </w:pPr>
      <w:r>
        <w:t>[대응 요구사항: PMR-002]</w:t>
      </w: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항목</w:t>
            </w:r>
          </w:p>
        </w:tc>
        <w:tc>
          <w:tcPr>
            <w:tcW w:type="dxa" w:w="7831"/>
            <w:shd w:val="clear" w:fill="1F3A5F"/>
          </w:tcPr>
          <w:p>
            <w:r/>
            <w:r>
              <w:rPr>
                <w:rFonts w:ascii="맑은 고딕" w:hAnsi="맑은 고딕" w:eastAsia="맑은 고딕"/>
                <w:b/>
                <w:color w:val="FFFFFF"/>
                <w:sz w:val="19"/>
              </w:rPr>
              <w:t>내용</w:t>
            </w:r>
          </w:p>
        </w:tc>
      </w:tr>
      <w:tr>
        <w:tc>
          <w:tcPr>
            <w:tcW w:type="dxa" w:w="1807"/>
          </w:tcPr>
          <w:p>
            <w:r/>
            <w:r>
              <w:rPr>
                <w:rFonts w:ascii="맑은 고딕" w:hAnsi="맑은 고딕" w:eastAsia="맑은 고딕"/>
                <w:sz w:val="19"/>
              </w:rPr>
              <w:t>기간·비용</w:t>
            </w:r>
          </w:p>
        </w:tc>
        <w:tc>
          <w:tcPr>
            <w:tcW w:type="dxa" w:w="7831"/>
          </w:tcPr>
          <w:p>
            <w:r/>
            <w:r>
              <w:rPr>
                <w:rFonts w:ascii="맑은 고딕" w:hAnsi="맑은 고딕" w:eastAsia="맑은 고딕"/>
                <w:sz w:val="19"/>
              </w:rPr>
              <w:t>준공검사일로부터 12개월 — 비용은 계약금액에 포함(Ⅶ장 산출내역)</w:t>
            </w:r>
          </w:p>
        </w:tc>
      </w:tr>
      <w:tr>
        <w:tc>
          <w:tcPr>
            <w:tcW w:type="dxa" w:w="1807"/>
          </w:tcPr>
          <w:p>
            <w:r/>
            <w:r>
              <w:rPr>
                <w:rFonts w:ascii="맑은 고딕" w:hAnsi="맑은 고딕" w:eastAsia="맑은 고딕"/>
                <w:sz w:val="19"/>
              </w:rPr>
              <w:t>장애 대응</w:t>
            </w:r>
          </w:p>
        </w:tc>
        <w:tc>
          <w:tcPr>
            <w:tcW w:type="dxa" w:w="7831"/>
          </w:tcPr>
          <w:p>
            <w:r/>
            <w:r>
              <w:rPr>
                <w:rFonts w:ascii="맑은 고딕" w:hAnsi="맑은 고딕" w:eastAsia="맑은 고딕"/>
                <w:sz w:val="19"/>
              </w:rPr>
              <w:t>통보 후 4시간 이내 접수, 24시간 이내 1차 조치. 중대 장애는 즉시 보고</w:t>
            </w:r>
          </w:p>
        </w:tc>
      </w:tr>
      <w:tr>
        <w:tc>
          <w:tcPr>
            <w:tcW w:type="dxa" w:w="1807"/>
          </w:tcPr>
          <w:p>
            <w:r/>
            <w:r>
              <w:rPr>
                <w:rFonts w:ascii="맑은 고딕" w:hAnsi="맑은 고딕" w:eastAsia="맑은 고딕"/>
                <w:sz w:val="19"/>
              </w:rPr>
              <w:t>보고</w:t>
            </w:r>
          </w:p>
        </w:tc>
        <w:tc>
          <w:tcPr>
            <w:tcW w:type="dxa" w:w="7831"/>
          </w:tcPr>
          <w:p>
            <w:r/>
            <w:r>
              <w:rPr>
                <w:rFonts w:ascii="맑은 고딕" w:hAnsi="맑은 고딕" w:eastAsia="맑은 고딕"/>
                <w:sz w:val="19"/>
              </w:rPr>
              <w:t>월 1회 운영 현황 보고서(접속 통계·장애 조치 내역), 분기 1회 운영 점검 회의</w:t>
            </w:r>
          </w:p>
        </w:tc>
      </w:tr>
      <w:tr>
        <w:tc>
          <w:tcPr>
            <w:tcW w:type="dxa" w:w="1807"/>
          </w:tcPr>
          <w:p>
            <w:r/>
            <w:r>
              <w:rPr>
                <w:rFonts w:ascii="맑은 고딕" w:hAnsi="맑은 고딕" w:eastAsia="맑은 고딕"/>
                <w:sz w:val="19"/>
              </w:rPr>
              <w:t>콘텐츠 갱신</w:t>
            </w:r>
          </w:p>
        </w:tc>
        <w:tc>
          <w:tcPr>
            <w:tcW w:type="dxa" w:w="7831"/>
          </w:tcPr>
          <w:p>
            <w:r/>
            <w:r>
              <w:rPr>
                <w:rFonts w:ascii="맑은 고딕" w:hAnsi="맑은 고딕" w:eastAsia="맑은 고딕"/>
                <w:sz w:val="19"/>
              </w:rPr>
              <w:t>생성형 AI 서비스 변경으로 동작하지 않는 스킬을 기간 중 최대 15종 무상 갱신 — 검색어 로그의 미보유 영역 데이터로 갱신 우선순위를 정함</w:t>
            </w:r>
          </w:p>
        </w:tc>
      </w:tr>
      <w:tr>
        <w:tc>
          <w:tcPr>
            <w:tcW w:type="dxa" w:w="1807"/>
          </w:tcPr>
          <w:p>
            <w:r/>
            <w:r>
              <w:rPr>
                <w:rFonts w:ascii="맑은 고딕" w:hAnsi="맑은 고딕" w:eastAsia="맑은 고딕"/>
                <w:sz w:val="19"/>
              </w:rPr>
              <w:t>범위 구분</w:t>
            </w:r>
          </w:p>
        </w:tc>
        <w:tc>
          <w:tcPr>
            <w:tcW w:type="dxa" w:w="7831"/>
          </w:tcPr>
          <w:p>
            <w:r/>
            <w:r>
              <w:rPr>
                <w:rFonts w:ascii="맑은 고딕" w:hAnsi="맑은 고딕" w:eastAsia="맑은 고딕"/>
                <w:sz w:val="19"/>
              </w:rPr>
              <w:t>단순 오류·문안 수정·콘텐츠 등록 지원은 유지관리 범위, 신규 기능은 별도 협의</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30.8 FP × 605,784원 × 보정계수 1.384320</w:t>
            </w:r>
          </w:p>
        </w:tc>
        <w:tc>
          <w:tcPr>
            <w:tcW w:type="dxa" w:w="1662"/>
          </w:tcPr>
          <w:p>
            <w:r/>
            <w:r>
              <w:rPr>
                <w:rFonts w:ascii="맑은 고딕" w:hAnsi="맑은 고딕" w:eastAsia="맑은 고딕"/>
                <w:sz w:val="19"/>
              </w:rPr>
              <w:t>25,828,846</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3종 검증·교원 5인 검수)</w:t>
            </w:r>
          </w:p>
        </w:tc>
        <w:tc>
          <w:tcPr>
            <w:tcW w:type="dxa" w:w="3323"/>
          </w:tcPr>
          <w:p>
            <w:r/>
            <w:r>
              <w:rPr>
                <w:rFonts w:ascii="맑은 고딕" w:hAnsi="맑은 고딕" w:eastAsia="맑은 고딕"/>
                <w:sz w:val="19"/>
              </w:rPr>
              <w:t>40종 × 270,000원</w:t>
            </w:r>
          </w:p>
        </w:tc>
        <w:tc>
          <w:tcPr>
            <w:tcW w:type="dxa" w:w="1662"/>
          </w:tcPr>
          <w:p>
            <w:r/>
            <w:r>
              <w:rPr>
                <w:rFonts w:ascii="맑은 고딕" w:hAnsi="맑은 고딕" w:eastAsia="맑은 고딕"/>
                <w:sz w:val="19"/>
              </w:rPr>
              <w:t>10,800,000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직무연수 설계·운영(15시간 1기수, 지도안·교재·성과분석 포함)</w:t>
            </w:r>
          </w:p>
        </w:tc>
        <w:tc>
          <w:tcPr>
            <w:tcW w:type="dxa" w:w="3323"/>
          </w:tcPr>
          <w:p>
            <w:r/>
            <w:r>
              <w:rPr>
                <w:rFonts w:ascii="맑은 고딕" w:hAnsi="맑은 고딕" w:eastAsia="맑은 고딕"/>
                <w:sz w:val="19"/>
              </w:rPr>
              <w:t>15시간 × 140,000원</w:t>
            </w:r>
          </w:p>
        </w:tc>
        <w:tc>
          <w:tcPr>
            <w:tcW w:type="dxa" w:w="1662"/>
          </w:tcPr>
          <w:p>
            <w:r/>
            <w:r>
              <w:rPr>
                <w:rFonts w:ascii="맑은 고딕" w:hAnsi="맑은 고딕" w:eastAsia="맑은 고딕"/>
                <w:sz w:val="19"/>
              </w:rPr>
              <w:t>2,100,000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안내 영상 제작(편당 5분 내외, 자막 포함)</w:t>
            </w:r>
          </w:p>
        </w:tc>
        <w:tc>
          <w:tcPr>
            <w:tcW w:type="dxa" w:w="3323"/>
          </w:tcPr>
          <w:p>
            <w:r/>
            <w:r>
              <w:rPr>
                <w:rFonts w:ascii="맑은 고딕" w:hAnsi="맑은 고딕" w:eastAsia="맑은 고딕"/>
                <w:sz w:val="19"/>
              </w:rPr>
              <w:t>5편 × 320,000원</w:t>
            </w:r>
          </w:p>
        </w:tc>
        <w:tc>
          <w:tcPr>
            <w:tcW w:type="dxa" w:w="1662"/>
          </w:tcPr>
          <w:p>
            <w:r/>
            <w:r>
              <w:rPr>
                <w:rFonts w:ascii="맑은 고딕" w:hAnsi="맑은 고딕" w:eastAsia="맑은 고딕"/>
                <w:sz w:val="19"/>
              </w:rPr>
              <w:t>1,600,000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150,000원</w:t>
            </w:r>
          </w:p>
        </w:tc>
        <w:tc>
          <w:tcPr>
            <w:tcW w:type="dxa" w:w="1662"/>
          </w:tcPr>
          <w:p>
            <w:r/>
            <w:r>
              <w:rPr>
                <w:rFonts w:ascii="맑은 고딕" w:hAnsi="맑은 고딕" w:eastAsia="맑은 고딕"/>
                <w:sz w:val="19"/>
              </w:rPr>
              <w:t>1,800,000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외부 AI 서비스 이용료(체험·의미검색, 준공 후 12개월)</w:t>
            </w:r>
          </w:p>
        </w:tc>
        <w:tc>
          <w:tcPr>
            <w:tcW w:type="dxa" w:w="3323"/>
          </w:tcPr>
          <w:p>
            <w:r/>
            <w:r>
              <w:rPr>
                <w:rFonts w:ascii="맑은 고딕" w:hAnsi="맑은 고딕" w:eastAsia="맑은 고딕"/>
                <w:sz w:val="19"/>
              </w:rPr>
              <w:t>12월 × 80,000원</w:t>
            </w:r>
          </w:p>
        </w:tc>
        <w:tc>
          <w:tcPr>
            <w:tcW w:type="dxa" w:w="1662"/>
          </w:tcPr>
          <w:p>
            <w:r/>
            <w:r>
              <w:rPr>
                <w:rFonts w:ascii="맑은 고딕" w:hAnsi="맑은 고딕" w:eastAsia="맑은 고딕"/>
                <w:sz w:val="19"/>
              </w:rPr>
              <w:t>960,000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8</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8부 × 30,000원</w:t>
            </w:r>
          </w:p>
        </w:tc>
        <w:tc>
          <w:tcPr>
            <w:tcW w:type="dxa" w:w="1662"/>
          </w:tcPr>
          <w:p>
            <w:r/>
            <w:r>
              <w:rPr>
                <w:rFonts w:ascii="맑은 고딕" w:hAnsi="맑은 고딕" w:eastAsia="맑은 고딕"/>
                <w:sz w:val="19"/>
              </w:rPr>
              <w:t>240,000</w:t>
            </w:r>
          </w:p>
        </w:tc>
      </w:tr>
      <w:tr>
        <w:tc>
          <w:tcPr>
            <w:tcW w:type="dxa" w:w="665"/>
          </w:tcPr>
          <w:p>
            <w:r/>
            <w:r>
              <w:rPr>
                <w:rFonts w:ascii="맑은 고딕" w:hAnsi="맑은 고딕" w:eastAsia="맑은 고딕"/>
                <w:sz w:val="19"/>
              </w:rPr>
              <w:t>9</w:t>
            </w:r>
          </w:p>
        </w:tc>
        <w:tc>
          <w:tcPr>
            <w:tcW w:type="dxa" w:w="3988"/>
          </w:tcPr>
          <w:p>
            <w:r/>
            <w:r>
              <w:rPr>
                <w:rFonts w:ascii="맑은 고딕" w:hAnsi="맑은 고딕" w:eastAsia="맑은 고딕"/>
                <w:sz w:val="19"/>
              </w:rPr>
              <w:t>이윤 (개발원가의 6.28%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1,621,154</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49,500,000</w:t>
            </w:r>
          </w:p>
        </w:tc>
      </w:tr>
    </w:tbl>
    <w:p>
      <w:pPr>
        <w:pStyle w:val="Note"/>
      </w:pPr>
    </w:p>
    <w:p>
      <w:pPr/>
      <w:r>
        <w:t>총 계약금액 49,500,000원은 발주 예산과 일치하며, 항목 합계는 자동 검산을 거쳤습니다. 이윤율은 법정 한도(개발원가의 25%, 국가계약법 시행규칙 제8조) 대비 6.3%만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코어(4축+컬렉션)</w:t>
            </w:r>
          </w:p>
        </w:tc>
        <w:tc>
          <w:tcPr>
            <w:tcW w:type="dxa" w:w="4755"/>
          </w:tcPr>
          <w:p>
            <w:r/>
            <w:r>
              <w:rPr>
                <w:rFonts w:ascii="맑은 고딕" w:hAnsi="맑은 고딕" w:eastAsia="맑은 고딕"/>
                <w:sz w:val="19"/>
              </w:rPr>
              <w:t>스킬 원장(4축 분류·큐레이션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회원·권한(3단계)</w:t>
            </w:r>
          </w:p>
        </w:tc>
        <w:tc>
          <w:tcPr>
            <w:tcW w:type="dxa" w:w="4755"/>
          </w:tcPr>
          <w:p>
            <w:r/>
            <w:r>
              <w:rPr>
                <w:rFonts w:ascii="맑은 고딕" w:hAnsi="맑은 고딕" w:eastAsia="맑은 고딕"/>
                <w:sz w:val="19"/>
              </w:rPr>
              <w:t>회원 원장(교원·검수자·관리자, 소속·교과)</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AI 검색·추천</w:t>
            </w:r>
          </w:p>
        </w:tc>
        <w:tc>
          <w:tcPr>
            <w:tcW w:type="dxa" w:w="4755"/>
          </w:tcPr>
          <w:p>
            <w:r/>
            <w:r>
              <w:rPr>
                <w:rFonts w:ascii="맑은 고딕" w:hAnsi="맑은 고딕" w:eastAsia="맑은 고딕"/>
                <w:sz w:val="19"/>
              </w:rPr>
              <w:t>자연어 의미 검색·맞춤 추천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브라우저 체험</w:t>
            </w:r>
          </w:p>
        </w:tc>
        <w:tc>
          <w:tcPr>
            <w:tcW w:type="dxa" w:w="4755"/>
          </w:tcPr>
          <w:p>
            <w:r/>
            <w:r>
              <w:rPr>
                <w:rFonts w:ascii="맑은 고딕" w:hAnsi="맑은 고딕" w:eastAsia="맑은 고딕"/>
                <w:sz w:val="19"/>
              </w:rPr>
              <w:t>대표 스킬 체험 실행·이용량 통제</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30.8</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외부 AI 서비스 연동 및 장애 시 대체 동작(ECR-001)</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1.03</w:t>
            </w:r>
          </w:p>
        </w:tc>
        <w:tc>
          <w:tcPr>
            <w:tcW w:type="dxa" w:w="6544"/>
          </w:tcPr>
          <w:p>
            <w:r/>
            <w:r>
              <w:rPr>
                <w:rFonts w:ascii="맑은 고딕" w:hAnsi="맑은 고딕" w:eastAsia="맑은 고딕"/>
                <w:sz w:val="19"/>
              </w:rPr>
              <w:t>임베딩 의미 검색 응답·검색 품질 기준 충족(SFR-004, QUR-003)</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1.05</w:t>
            </w:r>
          </w:p>
        </w:tc>
        <w:tc>
          <w:tcPr>
            <w:tcW w:type="dxa" w:w="6544"/>
          </w:tcPr>
          <w:p>
            <w:r/>
            <w:r>
              <w:rPr>
                <w:rFonts w:ascii="맑은 고딕" w:hAnsi="맑은 고딕" w:eastAsia="맑은 고딕"/>
                <w:sz w:val="19"/>
              </w:rPr>
              <w:t>외부 전송 통제·개인정보 패턴 필터링·암호화(SER-002, SER-003)</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임베딩</w:t>
            </w:r>
          </w:p>
        </w:tc>
        <w:tc>
          <w:tcPr>
            <w:tcW w:type="dxa" w:w="7469"/>
          </w:tcPr>
          <w:p>
            <w:r/>
            <w:r>
              <w:rPr>
                <w:rFonts w:ascii="맑은 고딕" w:hAnsi="맑은 고딕" w:eastAsia="맑은 고딕"/>
                <w:sz w:val="19"/>
              </w:rPr>
              <w:t>문장의 의미를 수치 벡터로 변환해 유사도를 계산하는 기술 — 자연어 검색의 기반</w:t>
            </w:r>
          </w:p>
        </w:tc>
      </w:tr>
      <w:tr>
        <w:tc>
          <w:tcPr>
            <w:tcW w:type="dxa" w:w="2169"/>
          </w:tcPr>
          <w:p>
            <w:r/>
            <w:r>
              <w:rPr>
                <w:rFonts w:ascii="맑은 고딕" w:hAnsi="맑은 고딕" w:eastAsia="맑은 고딕"/>
                <w:sz w:val="19"/>
              </w:rPr>
              <w:t>pgvector</w:t>
            </w:r>
          </w:p>
        </w:tc>
        <w:tc>
          <w:tcPr>
            <w:tcW w:type="dxa" w:w="7469"/>
          </w:tcPr>
          <w:p>
            <w:r/>
            <w:r>
              <w:rPr>
                <w:rFonts w:ascii="맑은 고딕" w:hAnsi="맑은 고딕" w:eastAsia="맑은 고딕"/>
                <w:sz w:val="19"/>
              </w:rPr>
              <w:t>PostgreSQL 의 벡터 색인 확장 — 별도 검색 엔진 없이 의미 검색을 구현</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