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rFonts w:ascii="맑은 고딕" w:cs="맑은 고딕" w:eastAsia="맑은 고딕" w:hAnsi="맑은 고딕"/>
          <w:b/>
          <w:bCs/>
          <w:color w:val="2E5FA3"/>
          <w:sz w:val="30"/>
          <w:szCs w:val="30"/>
        </w:rPr>
        <w:t xml:space="preserve">세계디자인수도(WDC) 부산 2028 공식 웹사이트 구축</w:t>
      </w:r>
    </w:p>
    <w:p>
      <w:pPr>
        <w:spacing w:after="300"/>
        <w:jc w:val="center"/>
      </w:pPr>
      <w:r>
        <w:rPr>
          <w:rFonts w:ascii="맑은 고딕" w:cs="맑은 고딕" w:eastAsia="맑은 고딕" w:hAnsi="맑은 고딕"/>
          <w:b/>
          <w:bCs/>
          <w:color w:val="1B2A41"/>
          <w:sz w:val="52"/>
          <w:szCs w:val="52"/>
        </w:rPr>
        <w:t xml:space="preserve">AI 챗봇 및 AI 대응 구조</w:t>
      </w:r>
    </w:p>
    <w:p>
      <w:pPr>
        <w:spacing w:after="3200"/>
        <w:jc w:val="center"/>
      </w:pPr>
      <w:r>
        <w:rPr>
          <w:rFonts w:ascii="맑은 고딕" w:cs="맑은 고딕" w:eastAsia="맑은 고딕" w:hAnsi="맑은 고딕"/>
          <w:b/>
          <w:bCs/>
          <w:color w:val="1B2A41"/>
          <w:sz w:val="32"/>
          <w:szCs w:val="32"/>
        </w:rPr>
        <w:t xml:space="preserve">개발계획서 (기술 구현 방안)</w:t>
      </w:r>
    </w:p>
    <w:p>
      <w:pPr>
        <w:spacing w:after="120"/>
        <w:jc w:val="center"/>
      </w:pPr>
      <w:r>
        <w:rPr>
          <w:rFonts w:ascii="맑은 고딕" w:cs="맑은 고딕" w:eastAsia="맑은 고딕" w:hAnsi="맑은 고딕"/>
          <w:b w:val="false"/>
          <w:bCs w:val="false"/>
          <w:color w:val="444444"/>
          <w:sz w:val="22"/>
          <w:szCs w:val="22"/>
        </w:rPr>
        <w:t xml:space="preserve">지식기반형 RAG(검색증강생성) 아키텍처  ·  출처 연계형 답변 구조</w:t>
      </w:r>
    </w:p>
    <w:p>
      <w:pPr>
        <w:spacing w:after="4200"/>
        <w:jc w:val="center"/>
      </w:pPr>
      <w:r>
        <w:rPr>
          <w:rFonts w:ascii="맑은 고딕" w:cs="맑은 고딕" w:eastAsia="맑은 고딕" w:hAnsi="맑은 고딕"/>
          <w:b w:val="false"/>
          <w:bCs w:val="false"/>
          <w:color w:val="444444"/>
          <w:sz w:val="22"/>
          <w:szCs w:val="22"/>
        </w:rPr>
        <w:t xml:space="preserve">KISA 클라우드서비스 보안인증(CSAP) 공공기관용 클라우드 기반 운영</w:t>
      </w:r>
    </w:p>
    <w:p>
      <w:pPr>
        <w:spacing w:after="100"/>
        <w:jc w:val="center"/>
      </w:pPr>
      <w:r>
        <w:rPr>
          <w:rFonts w:ascii="맑은 고딕" w:cs="맑은 고딕" w:eastAsia="맑은 고딕" w:hAnsi="맑은 고딕"/>
          <w:b w:val="false"/>
          <w:bCs w:val="false"/>
          <w:color w:val="444444"/>
          <w:sz w:val="22"/>
          <w:szCs w:val="22"/>
        </w:rPr>
        <w:t xml:space="preserve">2026. 7.</w:t>
      </w:r>
    </w:p>
    <w:p>
      <w:r>
        <w:br w:type="page"/>
      </w:r>
    </w:p>
    <w:p>
      <w:pPr>
        <w:pStyle w:val="Heading1"/>
        <w:pBdr>
          <w:bottom w:val="single" w:color="2E5FA3" w:sz="12" w:space="4"/>
        </w:pBdr>
        <w:spacing w:after="200" w:before="360"/>
      </w:pPr>
      <w:r>
        <w:rPr>
          <w:rFonts w:ascii="맑은 고딕" w:cs="맑은 고딕" w:eastAsia="맑은 고딕" w:hAnsi="맑은 고딕"/>
          <w:b/>
          <w:bCs/>
          <w:color w:val="1B2A41"/>
          <w:sz w:val="28"/>
          <w:szCs w:val="28"/>
        </w:rPr>
        <w:t xml:space="preserve">1. 사업 개요</w:t>
      </w:r>
    </w:p>
    <w:p>
      <w:pPr>
        <w:pStyle w:val="Heading2"/>
        <w:spacing w:after="140" w:before="260"/>
      </w:pPr>
      <w:r>
        <w:rPr>
          <w:rFonts w:ascii="맑은 고딕" w:cs="맑은 고딕" w:eastAsia="맑은 고딕" w:hAnsi="맑은 고딕"/>
          <w:b/>
          <w:bCs/>
          <w:color w:val="2E5FA3"/>
          <w:sz w:val="23"/>
          <w:szCs w:val="23"/>
        </w:rPr>
        <w:t xml:space="preserve">1.1 배경 및 목적</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부산광역시는 세계디자인기구(WDO)가 지정하는 「2028 세계디자인수도(World Design Capital)」에 선정되었으며, 국내외 시민·방문객·디자인 관계자를 대상으로 하는 공식 웹사이트가 WDC 부산의 핵심 정보 접점이 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본 계획서는 공식 웹사이트에 탑재되는 AI 챗봇을 단순 FAQ 응답기가 아닌, WDC 공식정보와 부산 디자인정책 자료를 통합적으로 검색·요약·추천하고 모든 답변에 출처를 연계하는 지식기반형 AI 안내 시스템으로 구현하기 위한 기술 설계와 개발 계획을 제시함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전체 시스템은 KISA 클라우드서비스 보안인증(CSAP)을 획득한 공공기관용 클라우드 환경에 구축·운영하여 공공부문 보안 기준을 충족함</w:t>
      </w:r>
    </w:p>
    <w:p>
      <w:pPr>
        <w:pStyle w:val="Heading2"/>
        <w:spacing w:after="140" w:before="260"/>
      </w:pPr>
      <w:r>
        <w:rPr>
          <w:rFonts w:ascii="맑은 고딕" w:cs="맑은 고딕" w:eastAsia="맑은 고딕" w:hAnsi="맑은 고딕"/>
          <w:b/>
          <w:bCs/>
          <w:color w:val="2E5FA3"/>
          <w:sz w:val="23"/>
          <w:szCs w:val="23"/>
        </w:rPr>
        <w:t xml:space="preserve">1.2 구축 방향 (설계 원칙)</w:t>
      </w:r>
    </w:p>
    <w:p>
      <w:pPr>
        <w:pStyle w:val="ListParagraph"/>
        <w:numPr>
          <w:ilvl w:val="0"/>
          <w:numId w:val="2"/>
        </w:numPr>
        <w:spacing w:after="80" w:line="290"/>
      </w:pPr>
      <w:r>
        <w:rPr>
          <w:rFonts w:ascii="맑은 고딕" w:cs="맑은 고딕" w:eastAsia="맑은 고딕" w:hAnsi="맑은 고딕"/>
          <w:b/>
          <w:bCs/>
          <w:color w:val="222222"/>
          <w:sz w:val="20"/>
          <w:szCs w:val="20"/>
        </w:rPr>
        <w:t xml:space="preserve">공식자료 기반 답변 원칙 — 챗봇은 발주기관이 승인한 공식 콘텐츠·정책자료만을 답변 근거로 사용하며, LLM이 자체 지식으로 임의 생성하는 것을 구조적으로 차단함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검색증강생성(RAG) 적용 — 질의마다 승인된 지식베이스에서 근거를 검색한 뒤, 검색된 근거 범위 안에서만 답변을 생성하도록 강제하는 구조를 적용함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출처 연계 필수 — 모든 답변에 관련 문서명·발행기관·발행연도·원문 링크·관련 페이지 링크를 함께 제공하여 이용자가 근거를 즉시 확인 가능하도록 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답변 불가 시 투명한 안내 — 공식자료로 확인이 어려운 질의는 임의 답변 대신 답변 제한 안내문을 제공하고, 관리자 검토 및 지식자료 보완 절차로 연결함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개인정보 보호 우선 — 개인정보·민감정보 입력 금지 안내, 질의 로그의 비식별 관리, 수집·보관·파기 정책의 사전 고지를 시스템 설계 단계부터 반영함(Privacy by Design)</w:t>
      </w:r>
    </w:p>
    <w:p>
      <w:pPr>
        <w:pStyle w:val="Heading2"/>
        <w:spacing w:after="140" w:before="260"/>
      </w:pPr>
      <w:r>
        <w:rPr>
          <w:rFonts w:ascii="맑은 고딕" w:cs="맑은 고딕" w:eastAsia="맑은 고딕" w:hAnsi="맑은 고딕"/>
          <w:b/>
          <w:bCs/>
          <w:color w:val="2E5FA3"/>
          <w:sz w:val="23"/>
          <w:szCs w:val="23"/>
        </w:rPr>
        <w:t xml:space="preserve">1.3 요구사항 대응 매핑</w:t>
      </w:r>
    </w:p>
    <w:p>
      <w:pPr>
        <w:spacing w:after="140" w:line="300"/>
        <w:jc w:val="both"/>
      </w:pPr>
      <w:r>
        <w:rPr>
          <w:rFonts w:ascii="맑은 고딕" w:cs="맑은 고딕" w:eastAsia="맑은 고딕" w:hAnsi="맑은 고딕"/>
          <w:b w:val="false"/>
          <w:bCs w:val="false"/>
          <w:color w:val="222222"/>
          <w:sz w:val="20"/>
          <w:szCs w:val="20"/>
        </w:rPr>
        <w:t xml:space="preserve">과업 요구조건과 본 계획서의 구현 방안 대응 관계는 다음과 같음</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420"/>
        <w:gridCol w:w="1500"/>
      </w:tblGrid>
      <w:tr>
        <w:trPr>
          <w:tblHeader/>
        </w:trPr>
        <w:tc>
          <w:tcPr>
            <w:tcW w:type="dxa" w:w="70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구분</w:t>
            </w:r>
          </w:p>
        </w:tc>
        <w:tc>
          <w:tcPr>
            <w:tcW w:type="dxa" w:w="340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요구사항 요약</w:t>
            </w:r>
          </w:p>
        </w:tc>
        <w:tc>
          <w:tcPr>
            <w:tcW w:type="dxa" w:w="342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구현 방안</w:t>
            </w:r>
          </w:p>
        </w:tc>
        <w:tc>
          <w:tcPr>
            <w:tcW w:type="dxa" w:w="150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본문 위치</w:t>
            </w:r>
          </w:p>
        </w:tc>
      </w:tr>
      <w:tr>
        <w:tc>
          <w:tcPr>
            <w:tcW w:type="dxa" w:w="700"/>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R1</w:t>
            </w:r>
          </w:p>
        </w:tc>
        <w:tc>
          <w:tcPr>
            <w:tcW w:type="dxa" w:w="34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단순 FAQ가 아닌 통합 검색·요약·추천·출처연계 지식기반형 AI 안내</w:t>
            </w:r>
          </w:p>
        </w:tc>
        <w:tc>
          <w:tcPr>
            <w:tcW w:type="dxa" w:w="34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지식기반형 RAG 파이프라인(하이브리드 검색 + 근거 기반 생성 + 출처 카드)</w:t>
            </w:r>
          </w:p>
        </w:tc>
        <w:tc>
          <w:tcPr>
            <w:tcW w:type="dxa" w:w="1500"/>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3장</w:t>
            </w:r>
          </w:p>
        </w:tc>
      </w:tr>
      <w:tr>
        <w:tc>
          <w:tcPr>
            <w:tcW w:type="dxa" w:w="700"/>
            <w:shd w:fill="F5F8FC"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R2</w:t>
            </w:r>
          </w:p>
        </w:tc>
        <w:tc>
          <w:tcPr>
            <w:tcW w:type="dxa" w:w="34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WDC 소개·일정·프로그램·참여·장소·FAQ 및 공공디자인·경관·도시브랜드 가이드라인·정책자료 포괄</w:t>
            </w:r>
          </w:p>
        </w:tc>
        <w:tc>
          <w:tcPr>
            <w:tcW w:type="dxa" w:w="34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지식자료 분류 체계 및 카테고리별 인덱스 설계</w:t>
            </w:r>
          </w:p>
        </w:tc>
        <w:tc>
          <w:tcPr>
            <w:tcW w:type="dxa" w:w="1500"/>
            <w:shd w:fill="F5F8FC"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4.1</w:t>
            </w:r>
          </w:p>
        </w:tc>
      </w:tr>
      <w:tr>
        <w:tc>
          <w:tcPr>
            <w:tcW w:type="dxa" w:w="700"/>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R3</w:t>
            </w:r>
          </w:p>
        </w:tc>
        <w:tc>
          <w:tcPr>
            <w:tcW w:type="dxa" w:w="34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발주기관 승인 공식 콘텐츠 기반 답변 + 문서명·발행기관·발행연도·원문/페이지 링크 제공</w:t>
            </w:r>
          </w:p>
        </w:tc>
        <w:tc>
          <w:tcPr>
            <w:tcW w:type="dxa" w:w="34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CMS 승인 워크플로우 + 출처 메타데이터 스키마·출처 카드 UI</w:t>
            </w:r>
          </w:p>
        </w:tc>
        <w:tc>
          <w:tcPr>
            <w:tcW w:type="dxa" w:w="1500"/>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3.3, 4.3</w:t>
            </w:r>
          </w:p>
        </w:tc>
      </w:tr>
      <w:tr>
        <w:tc>
          <w:tcPr>
            <w:tcW w:type="dxa" w:w="700"/>
            <w:shd w:fill="F5F8FC"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R4</w:t>
            </w:r>
          </w:p>
        </w:tc>
        <w:tc>
          <w:tcPr>
            <w:tcW w:type="dxa" w:w="34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RAG 또는 이에 준하는 구조로 부정확·임의 생성 답변 최소화</w:t>
            </w:r>
          </w:p>
        </w:tc>
        <w:tc>
          <w:tcPr>
            <w:tcW w:type="dxa" w:w="34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근거 강제 생성 제약 + 답변 검증 단계 + 환각 최소화 5대 전략</w:t>
            </w:r>
          </w:p>
        </w:tc>
        <w:tc>
          <w:tcPr>
            <w:tcW w:type="dxa" w:w="1500"/>
            <w:shd w:fill="F5F8FC"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3.2, 3.4</w:t>
            </w:r>
          </w:p>
        </w:tc>
      </w:tr>
      <w:tr>
        <w:tc>
          <w:tcPr>
            <w:tcW w:type="dxa" w:w="700"/>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R5</w:t>
            </w:r>
          </w:p>
        </w:tc>
        <w:tc>
          <w:tcPr>
            <w:tcW w:type="dxa" w:w="34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답변 시 참고 출처·기준 데이터 제공</w:t>
            </w:r>
          </w:p>
        </w:tc>
        <w:tc>
          <w:tcPr>
            <w:tcW w:type="dxa" w:w="34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답변-근거 청크 단위 인용 연계(출처 자동 부착)</w:t>
            </w:r>
          </w:p>
        </w:tc>
        <w:tc>
          <w:tcPr>
            <w:tcW w:type="dxa" w:w="1500"/>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3.3</w:t>
            </w:r>
          </w:p>
        </w:tc>
      </w:tr>
      <w:tr>
        <w:tc>
          <w:tcPr>
            <w:tcW w:type="dxa" w:w="700"/>
            <w:shd w:fill="F5F8FC"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R6</w:t>
            </w:r>
          </w:p>
        </w:tc>
        <w:tc>
          <w:tcPr>
            <w:tcW w:type="dxa" w:w="34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답변 불가 시 제한 안내문 + 관리자 검토·지식자료 보완 절차</w:t>
            </w:r>
          </w:p>
        </w:tc>
        <w:tc>
          <w:tcPr>
            <w:tcW w:type="dxa" w:w="34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신뢰도 판정 분기 → 제한 안내문 → 검토큐 → CMS 보완 루프</w:t>
            </w:r>
          </w:p>
        </w:tc>
        <w:tc>
          <w:tcPr>
            <w:tcW w:type="dxa" w:w="1500"/>
            <w:shd w:fill="F5F8FC"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3.5</w:t>
            </w:r>
          </w:p>
        </w:tc>
      </w:tr>
      <w:tr>
        <w:tc>
          <w:tcPr>
            <w:tcW w:type="dxa" w:w="700"/>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R7</w:t>
            </w:r>
          </w:p>
        </w:tc>
        <w:tc>
          <w:tcPr>
            <w:tcW w:type="dxa" w:w="34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개인정보·민감정보 입력 금지 안내 제공</w:t>
            </w:r>
          </w:p>
        </w:tc>
        <w:tc>
          <w:tcPr>
            <w:tcW w:type="dxa" w:w="34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챗봇 첫 화면 상시 고지 + 입력 단계 실시간 탐지 경고</w:t>
            </w:r>
          </w:p>
        </w:tc>
        <w:tc>
          <w:tcPr>
            <w:tcW w:type="dxa" w:w="1500"/>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5.1</w:t>
            </w:r>
          </w:p>
        </w:tc>
      </w:tr>
      <w:tr>
        <w:tc>
          <w:tcPr>
            <w:tcW w:type="dxa" w:w="700"/>
            <w:shd w:fill="F5F8FC"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R8</w:t>
            </w:r>
          </w:p>
        </w:tc>
        <w:tc>
          <w:tcPr>
            <w:tcW w:type="dxa" w:w="34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질의 로그의 비식별 수집·관리</w:t>
            </w:r>
          </w:p>
        </w:tc>
        <w:tc>
          <w:tcPr>
            <w:tcW w:type="dxa" w:w="34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PII 이중 탐지(패턴+NER) 및 마스킹 후 저장, 원본 미저장 원칙</w:t>
            </w:r>
          </w:p>
        </w:tc>
        <w:tc>
          <w:tcPr>
            <w:tcW w:type="dxa" w:w="1500"/>
            <w:shd w:fill="F5F8FC"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5.2</w:t>
            </w:r>
          </w:p>
        </w:tc>
      </w:tr>
      <w:tr>
        <w:tc>
          <w:tcPr>
            <w:tcW w:type="dxa" w:w="700"/>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R9</w:t>
            </w:r>
          </w:p>
        </w:tc>
        <w:tc>
          <w:tcPr>
            <w:tcW w:type="dxa" w:w="34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로그 수집여부·목적·보관기간·접근권한·열람범위·삭제·파기절차 사전 고지</w:t>
            </w:r>
          </w:p>
        </w:tc>
        <w:tc>
          <w:tcPr>
            <w:tcW w:type="dxa" w:w="34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로그 관리 정책표 수립·고지 화면 반영·자동 파기 배치</w:t>
            </w:r>
          </w:p>
        </w:tc>
        <w:tc>
          <w:tcPr>
            <w:tcW w:type="dxa" w:w="1500"/>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5.3</w:t>
            </w:r>
          </w:p>
        </w:tc>
      </w:tr>
      <w:tr>
        <w:tc>
          <w:tcPr>
            <w:tcW w:type="dxa" w:w="700"/>
            <w:shd w:fill="F5F8FC"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R10</w:t>
            </w:r>
          </w:p>
        </w:tc>
        <w:tc>
          <w:tcPr>
            <w:tcW w:type="dxa" w:w="34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지식자료의 CMS 등록·수정·삭제·분류·공개범위 설정</w:t>
            </w:r>
          </w:p>
        </w:tc>
        <w:tc>
          <w:tcPr>
            <w:tcW w:type="dxa" w:w="34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CMS-지식베이스 실시간 동기화 파이프라인(이벤트 기반)</w:t>
            </w:r>
          </w:p>
        </w:tc>
        <w:tc>
          <w:tcPr>
            <w:tcW w:type="dxa" w:w="1500"/>
            <w:shd w:fill="F5F8FC"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4.2, 4.3</w:t>
            </w:r>
          </w:p>
        </w:tc>
      </w:tr>
      <w:tr>
        <w:tc>
          <w:tcPr>
            <w:tcW w:type="dxa" w:w="700"/>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R11</w:t>
            </w:r>
          </w:p>
        </w:tc>
        <w:tc>
          <w:tcPr>
            <w:tcW w:type="dxa" w:w="34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CSAP 인증 공공기관용 클라우드 기반 운영</w:t>
            </w:r>
          </w:p>
        </w:tc>
        <w:tc>
          <w:tcPr>
            <w:tcW w:type="dxa" w:w="34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CSAP 인증 CSP 공공존(VPC) 구성 + 보안 설계</w:t>
            </w:r>
          </w:p>
        </w:tc>
        <w:tc>
          <w:tcPr>
            <w:tcW w:type="dxa" w:w="1500"/>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6장</w:t>
            </w:r>
          </w:p>
        </w:tc>
      </w:tr>
    </w:tbl>
    <w:p>
      <w:r>
        <w:br w:type="page"/>
      </w:r>
    </w:p>
    <w:p>
      <w:pPr>
        <w:pStyle w:val="Heading1"/>
        <w:pBdr>
          <w:bottom w:val="single" w:color="2E5FA3" w:sz="12" w:space="4"/>
        </w:pBdr>
        <w:spacing w:after="200" w:before="360"/>
      </w:pPr>
      <w:r>
        <w:rPr>
          <w:rFonts w:ascii="맑은 고딕" w:cs="맑은 고딕" w:eastAsia="맑은 고딕" w:hAnsi="맑은 고딕"/>
          <w:b/>
          <w:bCs/>
          <w:color w:val="1B2A41"/>
          <w:sz w:val="28"/>
          <w:szCs w:val="28"/>
        </w:rPr>
        <w:t xml:space="preserve">2. 시스템 전체 구성</w:t>
      </w:r>
    </w:p>
    <w:p>
      <w:pPr>
        <w:pStyle w:val="Heading2"/>
        <w:spacing w:after="140" w:before="260"/>
      </w:pPr>
      <w:r>
        <w:rPr>
          <w:rFonts w:ascii="맑은 고딕" w:cs="맑은 고딕" w:eastAsia="맑은 고딕" w:hAnsi="맑은 고딕"/>
          <w:b/>
          <w:bCs/>
          <w:color w:val="2E5FA3"/>
          <w:sz w:val="23"/>
          <w:szCs w:val="23"/>
        </w:rPr>
        <w:t xml:space="preserve">2.1 전체 구성도</w:t>
      </w:r>
    </w:p>
    <w:p>
      <w:pPr>
        <w:spacing w:after="120" w:line="300"/>
        <w:jc w:val="both"/>
      </w:pPr>
      <w:r>
        <w:rPr>
          <w:rFonts w:ascii="맑은 고딕" w:cs="맑은 고딕" w:eastAsia="맑은 고딕" w:hAnsi="맑은 고딕"/>
          <w:b w:val="false"/>
          <w:bCs w:val="false"/>
          <w:color w:val="222222"/>
          <w:sz w:val="20"/>
          <w:szCs w:val="20"/>
        </w:rPr>
        <w:t xml:space="preserve">AI 챗봇 시스템은 CSAP 인증 공공기관용 클라우드의 공공 전용 존(VPC) 내에 프런트엔드 계층, 애플리케이션 계층, AI 모델 계층, 데이터 계층의 4계층으로 구성하며, 보안 계층이 전 구간을 보호함</w:t>
      </w:r>
    </w:p>
    <w:p>
      <w:pPr>
        <w:spacing w:after="40" w:before="160"/>
        <w:jc w:val="center"/>
      </w:pPr>
      <w:r>
        <w:drawing>
          <wp:inline distT="0" distB="0" distL="0" distR="0">
            <wp:extent cx="59055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419600"/>
                    </a:xfrm>
                    <a:prstGeom prst="rect">
                      <a:avLst/>
                    </a:prstGeom>
                  </pic:spPr>
                </pic:pic>
              </a:graphicData>
            </a:graphic>
          </wp:inline>
        </w:drawing>
      </w:r>
    </w:p>
    <w:p>
      <w:pPr>
        <w:spacing w:after="240" w:before="80"/>
        <w:jc w:val="center"/>
      </w:pPr>
      <w:r>
        <w:rPr>
          <w:rFonts w:ascii="맑은 고딕" w:cs="맑은 고딕" w:eastAsia="맑은 고딕" w:hAnsi="맑은 고딕"/>
          <w:b/>
          <w:bCs/>
          <w:color w:val="555555"/>
          <w:sz w:val="18"/>
          <w:szCs w:val="18"/>
        </w:rPr>
        <w:t xml:space="preserve">[그림 1] AI 챗봇 전체 시스템 구성도</w:t>
      </w:r>
    </w:p>
    <w:p>
      <w:pPr>
        <w:pStyle w:val="Heading2"/>
        <w:spacing w:after="140" w:before="260"/>
      </w:pPr>
      <w:r>
        <w:rPr>
          <w:rFonts w:ascii="맑은 고딕" w:cs="맑은 고딕" w:eastAsia="맑은 고딕" w:hAnsi="맑은 고딕"/>
          <w:b/>
          <w:bCs/>
          <w:color w:val="2E5FA3"/>
          <w:sz w:val="23"/>
          <w:szCs w:val="23"/>
        </w:rPr>
        <w:t xml:space="preserve">2.2 구성요소별 역할</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50"/>
        <w:gridCol w:w="2350"/>
        <w:gridCol w:w="4920"/>
      </w:tblGrid>
      <w:tr>
        <w:trPr>
          <w:tblHeader/>
        </w:trPr>
        <w:tc>
          <w:tcPr>
            <w:tcW w:type="dxa" w:w="175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계층</w:t>
            </w:r>
          </w:p>
        </w:tc>
        <w:tc>
          <w:tcPr>
            <w:tcW w:type="dxa" w:w="235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구성요소</w:t>
            </w:r>
          </w:p>
        </w:tc>
        <w:tc>
          <w:tcPr>
            <w:tcW w:type="dxa" w:w="492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역할</w:t>
            </w:r>
          </w:p>
        </w:tc>
      </w:tr>
      <w:tr>
        <w:tc>
          <w:tcPr>
            <w:tcW w:type="dxa" w:w="175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프런트엔드</w:t>
            </w:r>
          </w:p>
        </w:tc>
        <w:tc>
          <w:tcPr>
            <w:tcW w:type="dxa" w:w="235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웹사이트 + 챗봇 UI</w:t>
            </w:r>
          </w:p>
        </w:tc>
        <w:tc>
          <w:tcPr>
            <w:tcW w:type="dxa" w:w="49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WDC 공식 웹사이트에 임베드되는 반응형 챗봇 위젯, 답변 본문과 출처 카드를 함께 표시, 국문/영문 다국어 지원</w:t>
            </w:r>
          </w:p>
        </w:tc>
      </w:tr>
      <w:tr>
        <w:tc>
          <w:tcPr>
            <w:tcW w:type="dxa" w:w="175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프런트엔드</w:t>
            </w:r>
          </w:p>
        </w:tc>
        <w:tc>
          <w:tcPr>
            <w:tcW w:type="dxa" w:w="235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CMS 관리자 콘솔</w:t>
            </w:r>
          </w:p>
        </w:tc>
        <w:tc>
          <w:tcPr>
            <w:tcW w:type="dxa" w:w="49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지식자료 등록·수정·삭제·분류·공개범위 설정, 미답변 검토큐 처리, 이용 통계·품질 대시보드</w:t>
            </w:r>
          </w:p>
        </w:tc>
      </w:tr>
      <w:tr>
        <w:tc>
          <w:tcPr>
            <w:tcW w:type="dxa" w:w="175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애플리케이션</w:t>
            </w:r>
          </w:p>
        </w:tc>
        <w:tc>
          <w:tcPr>
            <w:tcW w:type="dxa" w:w="235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대화·세션 관리</w:t>
            </w:r>
          </w:p>
        </w:tc>
        <w:tc>
          <w:tcPr>
            <w:tcW w:type="dxa" w:w="49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멀티턴 대화 문맥 유지, 개인정보 입력 금지·로그 정책 고지 노출</w:t>
            </w:r>
          </w:p>
        </w:tc>
      </w:tr>
      <w:tr>
        <w:tc>
          <w:tcPr>
            <w:tcW w:type="dxa" w:w="175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애플리케이션</w:t>
            </w:r>
          </w:p>
        </w:tc>
        <w:tc>
          <w:tcPr>
            <w:tcW w:type="dxa" w:w="235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입력 가드레일</w:t>
            </w:r>
          </w:p>
        </w:tc>
        <w:tc>
          <w:tcPr>
            <w:tcW w:type="dxa" w:w="49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개인정보·민감정보 실시간 탐지 및 마스킹, 부적절 질의 차단</w:t>
            </w:r>
          </w:p>
        </w:tc>
      </w:tr>
      <w:tr>
        <w:tc>
          <w:tcPr>
            <w:tcW w:type="dxa" w:w="175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애플리케이션</w:t>
            </w:r>
          </w:p>
        </w:tc>
        <w:tc>
          <w:tcPr>
            <w:tcW w:type="dxa" w:w="235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RAG 오케스트레이터</w:t>
            </w:r>
          </w:p>
        </w:tc>
        <w:tc>
          <w:tcPr>
            <w:tcW w:type="dxa" w:w="49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질의 이해 → 하이브리드 검색 → 융합·리랭킹 → 근거 컨텍스트 구성의 전 과정 제어</w:t>
            </w:r>
          </w:p>
        </w:tc>
      </w:tr>
      <w:tr>
        <w:tc>
          <w:tcPr>
            <w:tcW w:type="dxa" w:w="175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애플리케이션</w:t>
            </w:r>
          </w:p>
        </w:tc>
        <w:tc>
          <w:tcPr>
            <w:tcW w:type="dxa" w:w="235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답변 검증·출처 연계</w:t>
            </w:r>
          </w:p>
        </w:tc>
        <w:tc>
          <w:tcPr>
            <w:tcW w:type="dxa" w:w="49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생성 답변과 근거의 일치 여부 검증, 신뢰도 판정, 출처 메타데이터 자동 부착</w:t>
            </w:r>
          </w:p>
        </w:tc>
      </w:tr>
      <w:tr>
        <w:tc>
          <w:tcPr>
            <w:tcW w:type="dxa" w:w="175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AI 모델</w:t>
            </w:r>
          </w:p>
        </w:tc>
        <w:tc>
          <w:tcPr>
            <w:tcW w:type="dxa" w:w="235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임베딩 모델(BGE-M3)</w:t>
            </w:r>
          </w:p>
        </w:tc>
        <w:tc>
          <w:tcPr>
            <w:tcW w:type="dxa" w:w="49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한국어 성능이 검증된 임베딩 모델로 의미 벡터와 키워드(희소) 벡터를 동시 생성, 공공존 내 자체 구동으로 데이터 외부 유출 원천 차단</w:t>
            </w:r>
          </w:p>
        </w:tc>
      </w:tr>
      <w:tr>
        <w:tc>
          <w:tcPr>
            <w:tcW w:type="dxa" w:w="175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AI 모델</w:t>
            </w:r>
          </w:p>
        </w:tc>
        <w:tc>
          <w:tcPr>
            <w:tcW w:type="dxa" w:w="235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리랭커(Cross-Encoder)</w:t>
            </w:r>
          </w:p>
        </w:tc>
        <w:tc>
          <w:tcPr>
            <w:tcW w:type="dxa" w:w="49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1차 검색 결과를 질의와 정밀 대조하여 답변 근거로 쓸 상위 문단만 선별</w:t>
            </w:r>
          </w:p>
        </w:tc>
      </w:tr>
      <w:tr>
        <w:tc>
          <w:tcPr>
            <w:tcW w:type="dxa" w:w="175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AI 모델</w:t>
            </w:r>
          </w:p>
        </w:tc>
        <w:tc>
          <w:tcPr>
            <w:tcW w:type="dxa" w:w="235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LLM(답변 생성 전용)</w:t>
            </w:r>
          </w:p>
        </w:tc>
        <w:tc>
          <w:tcPr>
            <w:tcW w:type="dxa" w:w="49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검색된 근거를 자연어 답변으로 요약·정리하는 역할로 한정, 공공 클라우드 제공 LLM 또는 공공존 내 자체 호스팅 sLLM 적용(6.2 옵션 비교)</w:t>
            </w:r>
          </w:p>
        </w:tc>
      </w:tr>
      <w:tr>
        <w:tc>
          <w:tcPr>
            <w:tcW w:type="dxa" w:w="175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데이터</w:t>
            </w:r>
          </w:p>
        </w:tc>
        <w:tc>
          <w:tcPr>
            <w:tcW w:type="dxa" w:w="235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Vector DB / RDB / 객체 스토리지</w:t>
            </w:r>
          </w:p>
        </w:tc>
        <w:tc>
          <w:tcPr>
            <w:tcW w:type="dxa" w:w="49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지식 청크 벡터 인덱스(공개범위 필터 지원), 지식 메타데이터·버전·비식별 로그, 원문 파일 보관</w:t>
            </w:r>
          </w:p>
        </w:tc>
      </w:tr>
      <w:tr>
        <w:tc>
          <w:tcPr>
            <w:tcW w:type="dxa" w:w="175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데이터</w:t>
            </w:r>
          </w:p>
        </w:tc>
        <w:tc>
          <w:tcPr>
            <w:tcW w:type="dxa" w:w="235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지식 인덱싱 파이프라인</w:t>
            </w:r>
          </w:p>
        </w:tc>
        <w:tc>
          <w:tcPr>
            <w:tcW w:type="dxa" w:w="49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CMS 변경 이벤트 연동, 문서 파싱 → 청킹 → 임베딩 → 인덱스 반영 자동화</w:t>
            </w:r>
          </w:p>
        </w:tc>
      </w:tr>
    </w:tbl>
    <w:p>
      <w:pPr>
        <w:spacing w:after="160"/>
      </w:pPr>
    </w:p>
    <w:p>
      <w:pPr>
        <w:pStyle w:val="Heading2"/>
        <w:spacing w:after="140" w:before="260"/>
      </w:pPr>
      <w:r>
        <w:rPr>
          <w:rFonts w:ascii="맑은 고딕" w:cs="맑은 고딕" w:eastAsia="맑은 고딕" w:hAnsi="맑은 고딕"/>
          <w:b/>
          <w:bCs/>
          <w:color w:val="2E5FA3"/>
          <w:sz w:val="23"/>
          <w:szCs w:val="23"/>
        </w:rPr>
        <w:t xml:space="preserve">2.3 적용 기술 스택</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0"/>
      </w:tblGrid>
      <w:tr>
        <w:trPr>
          <w:tblHeader/>
        </w:trPr>
        <w:tc>
          <w:tcPr>
            <w:tcW w:type="dxa" w:w="210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구분</w:t>
            </w:r>
          </w:p>
        </w:tc>
        <w:tc>
          <w:tcPr>
            <w:tcW w:type="dxa" w:w="330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적용 기술</w:t>
            </w:r>
          </w:p>
        </w:tc>
        <w:tc>
          <w:tcPr>
            <w:tcW w:type="dxa" w:w="362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선정 사유</w:t>
            </w:r>
          </w:p>
        </w:tc>
      </w:tr>
      <w:tr>
        <w:tc>
          <w:tcPr>
            <w:tcW w:type="dxa" w:w="21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프런트엔드</w:t>
            </w:r>
          </w:p>
        </w:tc>
        <w:tc>
          <w:tcPr>
            <w:tcW w:type="dxa" w:w="33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React + TypeScript, 반응형 웹</w:t>
            </w:r>
          </w:p>
        </w:tc>
        <w:tc>
          <w:tcPr>
            <w:tcW w:type="dxa" w:w="36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PC·모바일 통합 대응, 웹 접근성(KWCAG) 준수 용이</w:t>
            </w:r>
          </w:p>
        </w:tc>
      </w:tr>
      <w:tr>
        <w:tc>
          <w:tcPr>
            <w:tcW w:type="dxa" w:w="21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백엔드/API</w:t>
            </w:r>
          </w:p>
        </w:tc>
        <w:tc>
          <w:tcPr>
            <w:tcW w:type="dxa" w:w="33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FastAPI(Python), API Gateway</w:t>
            </w:r>
          </w:p>
        </w:tc>
        <w:tc>
          <w:tcPr>
            <w:tcW w:type="dxa" w:w="36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AI/RAG 생태계와의 호환성, 비동기 처리 성능, 공공사업 구축 실적 다수</w:t>
            </w:r>
          </w:p>
        </w:tc>
      </w:tr>
      <w:tr>
        <w:tc>
          <w:tcPr>
            <w:tcW w:type="dxa" w:w="21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임베딩</w:t>
            </w:r>
          </w:p>
        </w:tc>
        <w:tc>
          <w:tcPr>
            <w:tcW w:type="dxa" w:w="33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BGE-M3 (자체 호스팅)</w:t>
            </w:r>
          </w:p>
        </w:tc>
        <w:tc>
          <w:tcPr>
            <w:tcW w:type="dxa" w:w="36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한국어 검색 벤치마크 상위, 의미+키워드 하이브리드 검색 단일 모델 지원, 외부 API 미사용으로 보안성 확보</w:t>
            </w:r>
          </w:p>
        </w:tc>
      </w:tr>
      <w:tr>
        <w:tc>
          <w:tcPr>
            <w:tcW w:type="dxa" w:w="21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검색 엔진</w:t>
            </w:r>
          </w:p>
        </w:tc>
        <w:tc>
          <w:tcPr>
            <w:tcW w:type="dxa" w:w="33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Vector DB(Qdrant 등) + BM25</w:t>
            </w:r>
          </w:p>
        </w:tc>
        <w:tc>
          <w:tcPr>
            <w:tcW w:type="dxa" w:w="36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하이브리드 검색·메타데이터 필터(공개범위) 지원, 공공존 내 자체 구축 가능</w:t>
            </w:r>
          </w:p>
        </w:tc>
      </w:tr>
      <w:tr>
        <w:tc>
          <w:tcPr>
            <w:tcW w:type="dxa" w:w="21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LLM</w:t>
            </w:r>
          </w:p>
        </w:tc>
        <w:tc>
          <w:tcPr>
            <w:tcW w:type="dxa" w:w="33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공공 클라우드 제공 LLM API 또는 자체 호스팅 sLLM</w:t>
            </w:r>
          </w:p>
        </w:tc>
        <w:tc>
          <w:tcPr>
            <w:tcW w:type="dxa" w:w="36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CSAP 환경 내 데이터 처리 보장, 상세 비교는 6.2 참조</w:t>
            </w:r>
          </w:p>
        </w:tc>
      </w:tr>
      <w:tr>
        <w:tc>
          <w:tcPr>
            <w:tcW w:type="dxa" w:w="21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RDB/스토리지</w:t>
            </w:r>
          </w:p>
        </w:tc>
        <w:tc>
          <w:tcPr>
            <w:tcW w:type="dxa" w:w="33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PostgreSQL, 객체 스토리지</w:t>
            </w:r>
          </w:p>
        </w:tc>
        <w:tc>
          <w:tcPr>
            <w:tcW w:type="dxa" w:w="36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지식 메타·버전·비식별 로그 관리, 원문 보관</w:t>
            </w:r>
          </w:p>
        </w:tc>
      </w:tr>
      <w:tr>
        <w:tc>
          <w:tcPr>
            <w:tcW w:type="dxa" w:w="21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인프라</w:t>
            </w:r>
          </w:p>
        </w:tc>
        <w:tc>
          <w:tcPr>
            <w:tcW w:type="dxa" w:w="33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CSAP 인증 CSP 공공존(VPC)</w:t>
            </w:r>
          </w:p>
        </w:tc>
        <w:tc>
          <w:tcPr>
            <w:tcW w:type="dxa" w:w="36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공공기관 보안 요건 충족, 이중화·오토스케일 지원</w:t>
            </w:r>
          </w:p>
        </w:tc>
      </w:tr>
    </w:tbl>
    <w:p>
      <w:r>
        <w:br w:type="page"/>
      </w:r>
    </w:p>
    <w:p>
      <w:pPr>
        <w:pStyle w:val="Heading1"/>
        <w:pBdr>
          <w:bottom w:val="single" w:color="2E5FA3" w:sz="12" w:space="4"/>
        </w:pBdr>
        <w:spacing w:after="200" w:before="360"/>
      </w:pPr>
      <w:r>
        <w:rPr>
          <w:rFonts w:ascii="맑은 고딕" w:cs="맑은 고딕" w:eastAsia="맑은 고딕" w:hAnsi="맑은 고딕"/>
          <w:b/>
          <w:bCs/>
          <w:color w:val="1B2A41"/>
          <w:sz w:val="28"/>
          <w:szCs w:val="28"/>
        </w:rPr>
        <w:t xml:space="preserve">3. 지식기반형 RAG 답변 구조 설계</w:t>
      </w:r>
    </w:p>
    <w:p>
      <w:pPr>
        <w:pStyle w:val="Heading2"/>
        <w:spacing w:after="140" w:before="260"/>
      </w:pPr>
      <w:r>
        <w:rPr>
          <w:rFonts w:ascii="맑은 고딕" w:cs="맑은 고딕" w:eastAsia="맑은 고딕" w:hAnsi="맑은 고딕"/>
          <w:b/>
          <w:bCs/>
          <w:color w:val="2E5FA3"/>
          <w:sz w:val="23"/>
          <w:szCs w:val="23"/>
        </w:rPr>
        <w:t xml:space="preserve">3.1 답변 생성 파이프라인</w:t>
      </w:r>
    </w:p>
    <w:p>
      <w:pPr>
        <w:spacing w:after="120" w:line="300"/>
        <w:jc w:val="both"/>
      </w:pPr>
      <w:r>
        <w:rPr>
          <w:rFonts w:ascii="맑은 고딕" w:cs="맑은 고딕" w:eastAsia="맑은 고딕" w:hAnsi="맑은 고딕"/>
          <w:b w:val="false"/>
          <w:bCs w:val="false"/>
          <w:color w:val="222222"/>
          <w:sz w:val="20"/>
          <w:szCs w:val="20"/>
        </w:rPr>
        <w:t xml:space="preserve">사용자 질의는 아래 7단계 파이프라인을 거쳐 처리되며, 마지막 검증 단계에서 신뢰도 기준을 통과한 경우에만 정상 답변이 제공됨. 기준 미달 시 답변 제한 안내문 분기로 처리됨</w:t>
      </w:r>
    </w:p>
    <w:p>
      <w:pPr>
        <w:spacing w:after="40" w:before="160"/>
        <w:jc w:val="center"/>
      </w:pPr>
      <w:r>
        <w:drawing>
          <wp:inline distT="0" distB="0" distL="0" distR="0">
            <wp:extent cx="5905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29025"/>
                    </a:xfrm>
                    <a:prstGeom prst="rect">
                      <a:avLst/>
                    </a:prstGeom>
                  </pic:spPr>
                </pic:pic>
              </a:graphicData>
            </a:graphic>
          </wp:inline>
        </w:drawing>
      </w:r>
    </w:p>
    <w:p>
      <w:pPr>
        <w:spacing w:after="240" w:before="80"/>
        <w:jc w:val="center"/>
      </w:pPr>
      <w:r>
        <w:rPr>
          <w:rFonts w:ascii="맑은 고딕" w:cs="맑은 고딕" w:eastAsia="맑은 고딕" w:hAnsi="맑은 고딕"/>
          <w:b/>
          <w:bCs/>
          <w:color w:val="555555"/>
          <w:sz w:val="18"/>
          <w:szCs w:val="18"/>
        </w:rPr>
        <w:t xml:space="preserve">[그림 2] RAG 답변 생성 파이프라인 및 분기 처리</w:t>
      </w:r>
    </w:p>
    <w:p>
      <w:pPr>
        <w:pStyle w:val="Heading2"/>
        <w:spacing w:after="140" w:before="260"/>
      </w:pPr>
      <w:r>
        <w:rPr>
          <w:rFonts w:ascii="맑은 고딕" w:cs="맑은 고딕" w:eastAsia="맑은 고딕" w:hAnsi="맑은 고딕"/>
          <w:b/>
          <w:bCs/>
          <w:color w:val="2E5FA3"/>
          <w:sz w:val="23"/>
          <w:szCs w:val="23"/>
        </w:rPr>
        <w:t xml:space="preserve">3.2 단계별 상세</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① 입력 가드레일 — 질의문에서 주민등록번호·전화번호·이메일·계좌번호 등 개인정보 패턴과 민감정보를 실시간 탐지하여 마스킹하고, 탐지 시 이용자에게 입력 금지 안내를 재고지함. 욕설·부적절 질의는 정중한 안내와 함께 차단함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② 질의 이해 — 질의를 카테고리(행사 일정, 참여 방법, 정책자료 등)로 분류하여 검색 대상을 최적화하고, 대화 문맥을 반영해 검색에 적합한 형태로 질의를 재작성함(예: "거기 어떻게 가요?" → 직전 대화의 행사장 명칭을 반영한 완전한 질의로 변환)</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③ 하이브리드 검색 — 고유명사·기관명·연도에 강한 키워드 검색(BM25)과 자연어 의미 파악에 강한 벡터 검색을 병행 수행함. 이때 CMS에서 설정된 공개범위 필터를 검색 조건에 강제 적용하여 비공개 자료는 검색 자체에서 배제함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④ RRF 융합·리랭킹 — 두 검색 결과를 RRF(Reciprocal Rank Fusion)로 융합한 뒤, Cross-Encoder 리랭커가 질의와 문단을 정밀 대조하여 답변 근거로 사용할 상위 문단만 선별함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⑤ 근거 컨텍스트 구성 — 선별된 문단을 문서명·발행기관·발행연도·원문 링크 등 출처 메타데이터와 함께 구조화하여 LLM 입력으로 구성함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⑥ LLM 답변 생성 — "제공된 근거 자료에 포함된 내용만으로 답변하고, 근거에 없는 내용은 답변하지 말 것"을 시스템 수준에서 강제하는 프롬프트 제약을 적용함. 답변의 각 문장이 어느 근거 문단에서 왔는지 인용 표시를 함께 생성함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⑦ 답변 검증 — 생성된 답변이 실제 근거와 일치하는지 자동 검증하고 신뢰도 점수를 산출함. 검색 근거 부족, 신뢰도 기준 미달, 서비스 범위 외 질의는 답변 제한 분기로 처리함</w:t>
      </w:r>
    </w:p>
    <w:p>
      <w:pPr>
        <w:pStyle w:val="Heading2"/>
        <w:spacing w:after="140" w:before="260"/>
      </w:pPr>
      <w:r>
        <w:rPr>
          <w:rFonts w:ascii="맑은 고딕" w:cs="맑은 고딕" w:eastAsia="맑은 고딕" w:hAnsi="맑은 고딕"/>
          <w:b/>
          <w:bCs/>
          <w:color w:val="2E5FA3"/>
          <w:sz w:val="23"/>
          <w:szCs w:val="23"/>
        </w:rPr>
        <w:t xml:space="preserve">3.3 출처 연계 설계</w:t>
      </w:r>
    </w:p>
    <w:p>
      <w:pPr>
        <w:spacing w:after="140" w:line="300"/>
        <w:jc w:val="both"/>
      </w:pPr>
      <w:r>
        <w:rPr>
          <w:rFonts w:ascii="맑은 고딕" w:cs="맑은 고딕" w:eastAsia="맑은 고딕" w:hAnsi="맑은 고딕"/>
          <w:b w:val="false"/>
          <w:bCs w:val="false"/>
          <w:color w:val="222222"/>
          <w:sz w:val="20"/>
          <w:szCs w:val="20"/>
        </w:rPr>
        <w:t xml:space="preserve">모든 지식 청크에는 아래 메타데이터를 필수 부착하며, 답변 하단에 출처 카드 형태로 표시함. 이용자는 원문 링크 및 관련 페이지 링크를 통해 근거를 즉시 확인할 수 있음</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0"/>
      </w:tblGrid>
      <w:tr>
        <w:trPr>
          <w:tblHeader/>
        </w:trPr>
        <w:tc>
          <w:tcPr>
            <w:tcW w:type="dxa" w:w="250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메타데이터 항목</w:t>
            </w:r>
          </w:p>
        </w:tc>
        <w:tc>
          <w:tcPr>
            <w:tcW w:type="dxa" w:w="360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설명</w:t>
            </w:r>
          </w:p>
        </w:tc>
        <w:tc>
          <w:tcPr>
            <w:tcW w:type="dxa" w:w="292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예시</w:t>
            </w:r>
          </w:p>
        </w:tc>
      </w:tr>
      <w:tr>
        <w:tc>
          <w:tcPr>
            <w:tcW w:type="dxa" w:w="25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문서명 (doc_title)</w:t>
            </w:r>
          </w:p>
        </w:tc>
        <w:tc>
          <w:tcPr>
            <w:tcW w:type="dxa" w:w="36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지식자료의 공식 명칭</w:t>
            </w:r>
          </w:p>
        </w:tc>
        <w:tc>
          <w:tcPr>
            <w:tcW w:type="dxa" w:w="29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부산광역시 공공디자인 가이드라인</w:t>
            </w:r>
          </w:p>
        </w:tc>
      </w:tr>
      <w:tr>
        <w:tc>
          <w:tcPr>
            <w:tcW w:type="dxa" w:w="25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발행기관 (publisher)</w:t>
            </w:r>
          </w:p>
        </w:tc>
        <w:tc>
          <w:tcPr>
            <w:tcW w:type="dxa" w:w="36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자료 발행 주체</w:t>
            </w:r>
          </w:p>
        </w:tc>
        <w:tc>
          <w:tcPr>
            <w:tcW w:type="dxa" w:w="29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부산광역시 / 부산디자인진흥원</w:t>
            </w:r>
          </w:p>
        </w:tc>
      </w:tr>
      <w:tr>
        <w:tc>
          <w:tcPr>
            <w:tcW w:type="dxa" w:w="25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발행연도 (pub_year)</w:t>
            </w:r>
          </w:p>
        </w:tc>
        <w:tc>
          <w:tcPr>
            <w:tcW w:type="dxa" w:w="36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발행·개정 연도</w:t>
            </w:r>
          </w:p>
        </w:tc>
        <w:tc>
          <w:tcPr>
            <w:tcW w:type="dxa" w:w="29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2025</w:t>
            </w:r>
          </w:p>
        </w:tc>
      </w:tr>
      <w:tr>
        <w:tc>
          <w:tcPr>
            <w:tcW w:type="dxa" w:w="25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원문 링크 (source_url)</w:t>
            </w:r>
          </w:p>
        </w:tc>
        <w:tc>
          <w:tcPr>
            <w:tcW w:type="dxa" w:w="36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원문 파일 또는 게시물 URL</w:t>
            </w:r>
          </w:p>
        </w:tc>
        <w:tc>
          <w:tcPr>
            <w:tcW w:type="dxa" w:w="29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https://…/guideline.pdf</w:t>
            </w:r>
          </w:p>
        </w:tc>
      </w:tr>
      <w:tr>
        <w:tc>
          <w:tcPr>
            <w:tcW w:type="dxa" w:w="25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관련 페이지 (page_ref)</w:t>
            </w:r>
          </w:p>
        </w:tc>
        <w:tc>
          <w:tcPr>
            <w:tcW w:type="dxa" w:w="36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사이트 내 관련 페이지 링크·문서 내 페이지 번호</w:t>
            </w:r>
          </w:p>
        </w:tc>
        <w:tc>
          <w:tcPr>
            <w:tcW w:type="dxa" w:w="29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행사 안내 페이지 / p.42</w:t>
            </w:r>
          </w:p>
        </w:tc>
      </w:tr>
      <w:tr>
        <w:tc>
          <w:tcPr>
            <w:tcW w:type="dxa" w:w="25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분류 (category)</w:t>
            </w:r>
          </w:p>
        </w:tc>
        <w:tc>
          <w:tcPr>
            <w:tcW w:type="dxa" w:w="36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지식 분류 체계상 카테고리</w:t>
            </w:r>
          </w:p>
        </w:tc>
        <w:tc>
          <w:tcPr>
            <w:tcW w:type="dxa" w:w="29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공공디자인 가이드라인</w:t>
            </w:r>
          </w:p>
        </w:tc>
      </w:tr>
      <w:tr>
        <w:tc>
          <w:tcPr>
            <w:tcW w:type="dxa" w:w="25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공개범위 (visibility)</w:t>
            </w:r>
          </w:p>
        </w:tc>
        <w:tc>
          <w:tcPr>
            <w:tcW w:type="dxa" w:w="36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공개 / 기간 한정 / 비공개</w:t>
            </w:r>
          </w:p>
        </w:tc>
        <w:tc>
          <w:tcPr>
            <w:tcW w:type="dxa" w:w="29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공개</w:t>
            </w:r>
          </w:p>
        </w:tc>
      </w:tr>
      <w:tr>
        <w:tc>
          <w:tcPr>
            <w:tcW w:type="dxa" w:w="25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버전 (version)</w:t>
            </w:r>
          </w:p>
        </w:tc>
        <w:tc>
          <w:tcPr>
            <w:tcW w:type="dxa" w:w="36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자료 개정 이력 식별자</w:t>
            </w:r>
          </w:p>
        </w:tc>
        <w:tc>
          <w:tcPr>
            <w:tcW w:type="dxa" w:w="29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v2 (2026-06 개정)</w:t>
            </w:r>
          </w:p>
        </w:tc>
      </w:tr>
    </w:tbl>
    <w:p>
      <w:pPr>
        <w:spacing w:after="160"/>
      </w:pP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출처 카드 UI — 답변 본문 아래에 「참고 자료」 영역을 표시하고, 근거로 사용된 자료별로 문서명·발행기관·발행연도를 표기하며 원문 링크와 관련 페이지 링크 버튼을 제공함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문장 단위 인용 — 답변 문장별로 어느 자료에 근거했는지 각주형 인용 번호를 표시하여, 요약·추천형 답변에서도 근거 추적이 가능하도록 함</w:t>
      </w:r>
    </w:p>
    <w:p>
      <w:pPr>
        <w:pStyle w:val="Heading2"/>
        <w:spacing w:after="140" w:before="260"/>
      </w:pPr>
      <w:r>
        <w:rPr>
          <w:rFonts w:ascii="맑은 고딕" w:cs="맑은 고딕" w:eastAsia="맑은 고딕" w:hAnsi="맑은 고딕"/>
          <w:b/>
          <w:bCs/>
          <w:color w:val="2E5FA3"/>
          <w:sz w:val="23"/>
          <w:szCs w:val="23"/>
        </w:rPr>
        <w:t xml:space="preserve">3.4 환각(임의 생성) 최소화 전략</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전략 1. 폐쇄형 지식베이스 — LLM의 사전 학습 지식이 아닌, 발주기관 승인 자료 인덱스만을 답변 근거로 허용하는 폐쇄형(Closed-Book 금지) 구조 적용</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전략 2. 근거 강제 생성 — 근거 밖 내용 생성을 금지하는 시스템 프롬프트 제약과 근거-인용 연동 생성 방식 적용</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전략 3. 생성 후 검증 — 답변-근거 일치 자동 검증 단계를 별도로 두어, 근거와 어긋난 문장이 포함된 답변은 재생성하거나 제한 분기로 처리</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전략 4. 낮은 온도(temperature) 설정 — 창의적 변형을 억제하는 보수적 생성 파라미터 적용으로 사실 왜곡 가능성 축소</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전략 5. 정량 평가 상시화 — 골든 평가셋 기반 충실성(Faithfulness) 지표를 구축·운영 단계에서 상시 측정하여 기준 미달 시 파이프라인 개선(7장)</w:t>
      </w:r>
    </w:p>
    <w:p>
      <w:pPr>
        <w:pStyle w:val="Heading2"/>
        <w:spacing w:after="140" w:before="260"/>
      </w:pPr>
      <w:r>
        <w:rPr>
          <w:rFonts w:ascii="맑은 고딕" w:cs="맑은 고딕" w:eastAsia="맑은 고딕" w:hAnsi="맑은 고딕"/>
          <w:b/>
          <w:bCs/>
          <w:color w:val="2E5FA3"/>
          <w:sz w:val="23"/>
          <w:szCs w:val="23"/>
        </w:rPr>
        <w:t xml:space="preserve">3.5 답변 제한 및 관리자 검토·지식자료 보완 절차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답변 제한 안내 — 공식자료로 확인이 어려운 질의에 대해서는 "해당 내용은 현재 공식자료로 확인이 어려워 답변을 드리기 어렵습니다" 형태의 표준 안내문을 제공하고, 담당 부서 연락처·공식 문의 채널을 함께 안내함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관리자 검토큐 자동 등록 — 답변 제한 처리된 질의는 비식별 처리 후 CMS 검토큐에 자동 등록되며, 관리자는 질의 유형·빈도를 확인할 수 있음</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지식자료 보완 루프 — 검토 결과 답변이 필요한 질의로 판단되면 발주기관 승인을 거쳐 신규 지식자료 또는 FAQ를 CMS에 등록하고, 인덱싱 파이프라인을 통해 챗봇 답변에 즉시 반영함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보완 이력 관리 — 검토·보완의 전 과정(등록자·승인자·반영 일시)을 이력으로 기록하여 지식베이스 품질 관리의 근거로 활용함</w:t>
      </w:r>
    </w:p>
    <w:p>
      <w:r>
        <w:br w:type="page"/>
      </w:r>
    </w:p>
    <w:p>
      <w:pPr>
        <w:pStyle w:val="Heading1"/>
        <w:pBdr>
          <w:bottom w:val="single" w:color="2E5FA3" w:sz="12" w:space="4"/>
        </w:pBdr>
        <w:spacing w:after="200" w:before="360"/>
      </w:pPr>
      <w:r>
        <w:rPr>
          <w:rFonts w:ascii="맑은 고딕" w:cs="맑은 고딕" w:eastAsia="맑은 고딕" w:hAnsi="맑은 고딕"/>
          <w:b/>
          <w:bCs/>
          <w:color w:val="1B2A41"/>
          <w:sz w:val="28"/>
          <w:szCs w:val="28"/>
        </w:rPr>
        <w:t xml:space="preserve">4. 지식자료 관리 및 CMS 연동</w:t>
      </w:r>
    </w:p>
    <w:p>
      <w:pPr>
        <w:pStyle w:val="Heading2"/>
        <w:spacing w:after="140" w:before="260"/>
      </w:pPr>
      <w:r>
        <w:rPr>
          <w:rFonts w:ascii="맑은 고딕" w:cs="맑은 고딕" w:eastAsia="맑은 고딕" w:hAnsi="맑은 고딕"/>
          <w:b/>
          <w:bCs/>
          <w:color w:val="2E5FA3"/>
          <w:sz w:val="23"/>
          <w:szCs w:val="23"/>
        </w:rPr>
        <w:t xml:space="preserve">4.1 지식자료 범위 및 분류 체계</w:t>
      </w:r>
    </w:p>
    <w:p>
      <w:pPr>
        <w:spacing w:after="140" w:line="300"/>
        <w:jc w:val="both"/>
      </w:pPr>
      <w:r>
        <w:rPr>
          <w:rFonts w:ascii="맑은 고딕" w:cs="맑은 고딕" w:eastAsia="맑은 고딕" w:hAnsi="맑은 고딕"/>
          <w:b w:val="false"/>
          <w:bCs w:val="false"/>
          <w:color w:val="222222"/>
          <w:sz w:val="20"/>
          <w:szCs w:val="20"/>
        </w:rPr>
        <w:t xml:space="preserve">챗봇 답변 대상 지식자료는 과업 요구범위 전체를 포괄하도록 아래와 같이 분류하며, 분류 체계는 CMS에서 관리자가 직접 추가·변경할 수 있음</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420"/>
      </w:tblGrid>
      <w:tr>
        <w:trPr>
          <w:tblHeader/>
        </w:trPr>
        <w:tc>
          <w:tcPr>
            <w:tcW w:type="dxa" w:w="230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분류 (대카테고리)</w:t>
            </w:r>
          </w:p>
        </w:tc>
        <w:tc>
          <w:tcPr>
            <w:tcW w:type="dxa" w:w="430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포함 내용</w:t>
            </w:r>
          </w:p>
        </w:tc>
        <w:tc>
          <w:tcPr>
            <w:tcW w:type="dxa" w:w="242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주요 자료 형태</w:t>
            </w:r>
          </w:p>
        </w:tc>
      </w:tr>
      <w:tr>
        <w:tc>
          <w:tcPr>
            <w:tcW w:type="dxa" w:w="23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WDC 소개</w:t>
            </w:r>
          </w:p>
        </w:tc>
        <w:tc>
          <w:tcPr>
            <w:tcW w:type="dxa" w:w="43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세계디자인수도 개요, 부산 2028 비전·주제, 추진체계</w:t>
            </w:r>
          </w:p>
        </w:tc>
        <w:tc>
          <w:tcPr>
            <w:tcW w:type="dxa" w:w="24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웹 콘텐츠, 소개자료</w:t>
            </w:r>
          </w:p>
        </w:tc>
      </w:tr>
      <w:tr>
        <w:tc>
          <w:tcPr>
            <w:tcW w:type="dxa" w:w="23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행사 일정</w:t>
            </w:r>
          </w:p>
        </w:tc>
        <w:tc>
          <w:tcPr>
            <w:tcW w:type="dxa" w:w="43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연간 프로그램 일정, 개·폐막 행사, 월별 캘린더</w:t>
            </w:r>
          </w:p>
        </w:tc>
        <w:tc>
          <w:tcPr>
            <w:tcW w:type="dxa" w:w="24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웹 콘텐츠, 일정 데이터</w:t>
            </w:r>
          </w:p>
        </w:tc>
      </w:tr>
      <w:tr>
        <w:tc>
          <w:tcPr>
            <w:tcW w:type="dxa" w:w="23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프로그램 안내</w:t>
            </w:r>
          </w:p>
        </w:tc>
        <w:tc>
          <w:tcPr>
            <w:tcW w:type="dxa" w:w="43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시그니처 프로그램, 전시·포럼·시민참여 프로그램 상세</w:t>
            </w:r>
          </w:p>
        </w:tc>
        <w:tc>
          <w:tcPr>
            <w:tcW w:type="dxa" w:w="24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웹 콘텐츠, 안내 책자</w:t>
            </w:r>
          </w:p>
        </w:tc>
      </w:tr>
      <w:tr>
        <w:tc>
          <w:tcPr>
            <w:tcW w:type="dxa" w:w="23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참여 방법</w:t>
            </w:r>
          </w:p>
        </w:tc>
        <w:tc>
          <w:tcPr>
            <w:tcW w:type="dxa" w:w="43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시민·기업·디자이너 참여 신청, 자원봉사, 공모</w:t>
            </w:r>
          </w:p>
        </w:tc>
        <w:tc>
          <w:tcPr>
            <w:tcW w:type="dxa" w:w="24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웹 콘텐츠, 공고문</w:t>
            </w:r>
          </w:p>
        </w:tc>
      </w:tr>
      <w:tr>
        <w:tc>
          <w:tcPr>
            <w:tcW w:type="dxa" w:w="23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장소 안내</w:t>
            </w:r>
          </w:p>
        </w:tc>
        <w:tc>
          <w:tcPr>
            <w:tcW w:type="dxa" w:w="43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행사장 위치·교통·편의시설, 접근성 정보</w:t>
            </w:r>
          </w:p>
        </w:tc>
        <w:tc>
          <w:tcPr>
            <w:tcW w:type="dxa" w:w="24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웹 콘텐츠, 지도 연계</w:t>
            </w:r>
          </w:p>
        </w:tc>
      </w:tr>
      <w:tr>
        <w:tc>
          <w:tcPr>
            <w:tcW w:type="dxa" w:w="23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FAQ</w:t>
            </w:r>
          </w:p>
        </w:tc>
        <w:tc>
          <w:tcPr>
            <w:tcW w:type="dxa" w:w="43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자주 묻는 질문(발주기관 승인 Q&amp;A)</w:t>
            </w:r>
          </w:p>
        </w:tc>
        <w:tc>
          <w:tcPr>
            <w:tcW w:type="dxa" w:w="24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구조화 Q&amp;A</w:t>
            </w:r>
          </w:p>
        </w:tc>
      </w:tr>
      <w:tr>
        <w:tc>
          <w:tcPr>
            <w:tcW w:type="dxa" w:w="23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공공디자인 가이드라인</w:t>
            </w:r>
          </w:p>
        </w:tc>
        <w:tc>
          <w:tcPr>
            <w:tcW w:type="dxa" w:w="43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부산시 공공디자인 진흥계획·가이드라인·정책자료</w:t>
            </w:r>
          </w:p>
        </w:tc>
        <w:tc>
          <w:tcPr>
            <w:tcW w:type="dxa" w:w="24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HWP·PDF 문서</w:t>
            </w:r>
          </w:p>
        </w:tc>
      </w:tr>
      <w:tr>
        <w:tc>
          <w:tcPr>
            <w:tcW w:type="dxa" w:w="23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경관디자인</w:t>
            </w:r>
          </w:p>
        </w:tc>
        <w:tc>
          <w:tcPr>
            <w:tcW w:type="dxa" w:w="43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경관계획, 경관디자인 가이드라인·심의 기준</w:t>
            </w:r>
          </w:p>
        </w:tc>
        <w:tc>
          <w:tcPr>
            <w:tcW w:type="dxa" w:w="24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HWP·PDF 문서</w:t>
            </w:r>
          </w:p>
        </w:tc>
      </w:tr>
      <w:tr>
        <w:tc>
          <w:tcPr>
            <w:tcW w:type="dxa" w:w="23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도시브랜드</w:t>
            </w:r>
          </w:p>
        </w:tc>
        <w:tc>
          <w:tcPr>
            <w:tcW w:type="dxa" w:w="43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도시브랜드 지침, BI/CI 활용 기준, 관련 정책자료</w:t>
            </w:r>
          </w:p>
        </w:tc>
        <w:tc>
          <w:tcPr>
            <w:tcW w:type="dxa" w:w="24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PDF·이미지 지침</w:t>
            </w:r>
          </w:p>
        </w:tc>
      </w:tr>
    </w:tbl>
    <w:p>
      <w:pPr>
        <w:spacing w:after="160"/>
      </w:pPr>
    </w:p>
    <w:p>
      <w:pPr>
        <w:pStyle w:val="Heading2"/>
        <w:spacing w:after="140" w:before="260"/>
      </w:pPr>
      <w:r>
        <w:rPr>
          <w:rFonts w:ascii="맑은 고딕" w:cs="맑은 고딕" w:eastAsia="맑은 고딕" w:hAnsi="맑은 고딕"/>
          <w:b/>
          <w:bCs/>
          <w:color w:val="2E5FA3"/>
          <w:sz w:val="23"/>
          <w:szCs w:val="23"/>
        </w:rPr>
        <w:t xml:space="preserve">4.2 CMS 지식자료 관리 기능</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등록·수정·삭제 — 관리자는 CMS에서 지식자료(문서 파일·웹 콘텐츠·Q&amp;A)를 등록·수정·삭제할 수 있으며, 모든 변경은 챗봇 지식베이스에 자동 반영됨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분류 관리 — 4.1의 분류 체계에 따라 자료별 카테고리를 지정하고, 카테고리 추가·변경·순서 조정이 가능함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공개범위 설정 — 자료별로 공개 / 기간 한정 공개 / 비공개를 설정할 수 있으며, 설정값은 챗봇 검색 필터에 강제 적용되어 비공개 자료는 답변 근거에서 원천 배제됨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출처 메타데이터 관리 — 문서명·발행기관·발행연도·원문 링크 등 출처 정보를 등록 화면에서 필수 입력 항목으로 관리하여 출처 누락을 방지함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승인 워크플로우 — 작성 → 검토 → 발주기관 승인 → 반영의 단계별 상태 관리를 제공하며, 승인 완료 자료만 챗봇 지식베이스에 반영됨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검토큐·통계 — 미답변 질의 검토큐 처리 화면과 카테고리별 이용 통계·답변 품질 대시보드를 제공함</w:t>
      </w:r>
    </w:p>
    <w:p>
      <w:pPr>
        <w:pStyle w:val="Heading2"/>
        <w:spacing w:after="140" w:before="260"/>
      </w:pPr>
      <w:r>
        <w:rPr>
          <w:rFonts w:ascii="맑은 고딕" w:cs="맑은 고딕" w:eastAsia="맑은 고딕" w:hAnsi="맑은 고딕"/>
          <w:b/>
          <w:bCs/>
          <w:color w:val="2E5FA3"/>
          <w:sz w:val="23"/>
          <w:szCs w:val="23"/>
        </w:rPr>
        <w:t xml:space="preserve">4.3 지식 인덱싱 파이프라인</w:t>
      </w:r>
    </w:p>
    <w:p>
      <w:pPr>
        <w:spacing w:after="120" w:line="300"/>
        <w:jc w:val="both"/>
      </w:pPr>
      <w:r>
        <w:rPr>
          <w:rFonts w:ascii="맑은 고딕" w:cs="맑은 고딕" w:eastAsia="맑은 고딕" w:hAnsi="맑은 고딕"/>
          <w:b w:val="false"/>
          <w:bCs w:val="false"/>
          <w:color w:val="222222"/>
          <w:sz w:val="20"/>
          <w:szCs w:val="20"/>
        </w:rPr>
        <w:t xml:space="preserve">CMS의 자료 변경은 이벤트 기반으로 인덱싱 파이프라인에 전달되어 챗봇 답변에 즉시 반영됨. 공공기관 자료의 대부분을 차지하는 한글(HWP·HWPX) 문서의 직접 파싱을 지원하는 것이 특징임</w:t>
      </w:r>
    </w:p>
    <w:p>
      <w:pPr>
        <w:spacing w:after="40" w:before="160"/>
        <w:jc w:val="center"/>
      </w:pPr>
      <w:r>
        <w:drawing>
          <wp:inline distT="0" distB="0" distL="0" distR="0">
            <wp:extent cx="5905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05150"/>
                    </a:xfrm>
                    <a:prstGeom prst="rect">
                      <a:avLst/>
                    </a:prstGeom>
                  </pic:spPr>
                </pic:pic>
              </a:graphicData>
            </a:graphic>
          </wp:inline>
        </w:drawing>
      </w:r>
    </w:p>
    <w:p>
      <w:pPr>
        <w:spacing w:after="240" w:before="80"/>
        <w:jc w:val="center"/>
      </w:pPr>
      <w:r>
        <w:rPr>
          <w:rFonts w:ascii="맑은 고딕" w:cs="맑은 고딕" w:eastAsia="맑은 고딕" w:hAnsi="맑은 고딕"/>
          <w:b/>
          <w:bCs/>
          <w:color w:val="555555"/>
          <w:sz w:val="18"/>
          <w:szCs w:val="18"/>
        </w:rPr>
        <w:t xml:space="preserve">[그림 3] CMS 연동 지식자료 관리·인덱싱 파이프라인</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문서 파싱 — HWP·HWPX·PDF·웹페이지에서 본문·표를 구조적으로 추출하며, 스캔 문서는 OCR 병행 처리함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청킹 — 문서를 제목·절 단위 의미 구간으로 분할하고, 각 청크에 출처 메타데이터(3.3)를 부착함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인덱스 갱신 — 신규·수정 자료는 업서트(Upsert), 삭제 자료는 인덱스에서 즉시 제거하며 문서 버전을 관리하여 개정 자료의 이력 추적이 가능함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반영 시점 — 개별 자료는 변경 즉시(수 분 이내), 대량 일괄 등록은 야간 배치로 처리하며 모든 반영 이력을 감사 로그로 기록함</w:t>
      </w:r>
    </w:p>
    <w:p>
      <w:r>
        <w:br w:type="page"/>
      </w:r>
    </w:p>
    <w:p>
      <w:pPr>
        <w:pStyle w:val="Heading1"/>
        <w:pBdr>
          <w:bottom w:val="single" w:color="2E5FA3" w:sz="12" w:space="4"/>
        </w:pBdr>
        <w:spacing w:after="200" w:before="360"/>
      </w:pPr>
      <w:r>
        <w:rPr>
          <w:rFonts w:ascii="맑은 고딕" w:cs="맑은 고딕" w:eastAsia="맑은 고딕" w:hAnsi="맑은 고딕"/>
          <w:b/>
          <w:bCs/>
          <w:color w:val="1B2A41"/>
          <w:sz w:val="28"/>
          <w:szCs w:val="28"/>
        </w:rPr>
        <w:t xml:space="preserve">5. 개인정보 보호 및 질의 로그 관리</w:t>
      </w:r>
    </w:p>
    <w:p>
      <w:pPr>
        <w:pStyle w:val="Heading2"/>
        <w:spacing w:after="140" w:before="260"/>
      </w:pPr>
      <w:r>
        <w:rPr>
          <w:rFonts w:ascii="맑은 고딕" w:cs="맑은 고딕" w:eastAsia="맑은 고딕" w:hAnsi="맑은 고딕"/>
          <w:b/>
          <w:bCs/>
          <w:color w:val="2E5FA3"/>
          <w:sz w:val="23"/>
          <w:szCs w:val="23"/>
        </w:rPr>
        <w:t xml:space="preserve">5.1 사전 고지 및 입력 금지 안내</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챗봇 첫 화면 및 대화 시작 시점에 개인정보·민감정보 입력 금지 안내를 상시 노출함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로그 수집 여부, 수집 목적, 보관기간, 접근권한, 관리자 열람 범위, 삭제 기준 및 파기절차를 안내 화면과 이용안내 페이지에서 사전에 명확히 고지함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이용자가 개인정보로 추정되는 내용을 입력하는 경우 실시간 경고 문구를 표시하고 해당 내용을 마스킹 처리함</w:t>
      </w:r>
    </w:p>
    <w:p>
      <w:pPr>
        <w:pStyle w:val="Heading2"/>
        <w:spacing w:after="140" w:before="260"/>
      </w:pPr>
      <w:r>
        <w:rPr>
          <w:rFonts w:ascii="맑은 고딕" w:cs="맑은 고딕" w:eastAsia="맑은 고딕" w:hAnsi="맑은 고딕"/>
          <w:b/>
          <w:bCs/>
          <w:color w:val="2E5FA3"/>
          <w:sz w:val="23"/>
          <w:szCs w:val="23"/>
        </w:rPr>
        <w:t xml:space="preserve">5.2 PII 탐지·마스킹 및 비식별 로그 관리</w:t>
      </w:r>
    </w:p>
    <w:p>
      <w:pPr>
        <w:spacing w:after="120" w:line="300"/>
        <w:jc w:val="both"/>
      </w:pPr>
      <w:r>
        <w:rPr>
          <w:rFonts w:ascii="맑은 고딕" w:cs="맑은 고딕" w:eastAsia="맑은 고딕" w:hAnsi="맑은 고딕"/>
          <w:b w:val="false"/>
          <w:bCs w:val="false"/>
          <w:color w:val="222222"/>
          <w:sz w:val="20"/>
          <w:szCs w:val="20"/>
        </w:rPr>
        <w:t xml:space="preserve">질의 로그는 아래 구조에 따라 개인정보가 포함되지 않도록 비식별 방식으로 관리함. 탐지는 패턴 기반과 개체명 인식(NER) 모델의 이중 구조로 수행하며, 원본 질의문은 저장하지 않는 것을 원칙으로 함</w:t>
      </w:r>
    </w:p>
    <w:p>
      <w:pPr>
        <w:spacing w:after="40" w:before="160"/>
        <w:jc w:val="center"/>
      </w:pPr>
      <w:r>
        <w:drawing>
          <wp:inline distT="0" distB="0" distL="0" distR="0">
            <wp:extent cx="5905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05150"/>
                    </a:xfrm>
                    <a:prstGeom prst="rect">
                      <a:avLst/>
                    </a:prstGeom>
                  </pic:spPr>
                </pic:pic>
              </a:graphicData>
            </a:graphic>
          </wp:inline>
        </w:drawing>
      </w:r>
    </w:p>
    <w:p>
      <w:pPr>
        <w:spacing w:after="240" w:before="80"/>
        <w:jc w:val="center"/>
      </w:pPr>
      <w:r>
        <w:rPr>
          <w:rFonts w:ascii="맑은 고딕" w:cs="맑은 고딕" w:eastAsia="맑은 고딕" w:hAnsi="맑은 고딕"/>
          <w:b/>
          <w:bCs/>
          <w:color w:val="555555"/>
          <w:sz w:val="18"/>
          <w:szCs w:val="18"/>
        </w:rPr>
        <w:t xml:space="preserve">[그림 4] 개인정보 보호·질의 로그 비식별 관리 구조</w:t>
      </w:r>
    </w:p>
    <w:p>
      <w:pPr>
        <w:pStyle w:val="Heading2"/>
        <w:spacing w:after="140" w:before="260"/>
      </w:pPr>
      <w:r>
        <w:rPr>
          <w:rFonts w:ascii="맑은 고딕" w:cs="맑은 고딕" w:eastAsia="맑은 고딕" w:hAnsi="맑은 고딕"/>
          <w:b/>
          <w:bCs/>
          <w:color w:val="2E5FA3"/>
          <w:sz w:val="23"/>
          <w:szCs w:val="23"/>
        </w:rPr>
        <w:t xml:space="preserve">5.3 질의 로그 관리 정책</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항목</w:t>
            </w:r>
          </w:p>
        </w:tc>
        <w:tc>
          <w:tcPr>
            <w:tcW w:type="dxa" w:w="682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정책</w:t>
            </w:r>
          </w:p>
        </w:tc>
      </w:tr>
      <w:tr>
        <w:tc>
          <w:tcPr>
            <w:tcW w:type="dxa" w:w="22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수집 여부·항목</w:t>
            </w:r>
          </w:p>
        </w:tc>
        <w:tc>
          <w:tcPr>
            <w:tcW w:type="dxa" w:w="68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비식별 처리된 질의문(마스킹 후), 챗봇 응답, 인용 출처, 응답 시간, 만족도 평가만 수집함. 이용자 식별정보(성명·연락처 등)와 원본 질의문은 수집·저장하지 않음</w:t>
            </w:r>
          </w:p>
        </w:tc>
      </w:tr>
      <w:tr>
        <w:tc>
          <w:tcPr>
            <w:tcW w:type="dxa" w:w="22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수집 목적</w:t>
            </w:r>
          </w:p>
        </w:tc>
        <w:tc>
          <w:tcPr>
            <w:tcW w:type="dxa" w:w="68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미답변·저품질 질의 분석을 통한 지식자료 보완, 답변 품질 개선, 이용 통계 산출로 한정함. 목적 외 이용 및 제3자 제공을 금지함</w:t>
            </w:r>
          </w:p>
        </w:tc>
      </w:tr>
      <w:tr>
        <w:tc>
          <w:tcPr>
            <w:tcW w:type="dxa" w:w="22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보관기간</w:t>
            </w:r>
          </w:p>
        </w:tc>
        <w:tc>
          <w:tcPr>
            <w:tcW w:type="dxa" w:w="68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수집일로부터 발주기관과 협의된 기간(예: 1년) 보관을 원칙으로 하며, 통계 목적 자료는 완전 익명화 후 별도 보관함</w:t>
            </w:r>
          </w:p>
        </w:tc>
      </w:tr>
      <w:tr>
        <w:tc>
          <w:tcPr>
            <w:tcW w:type="dxa" w:w="22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접근권한</w:t>
            </w:r>
          </w:p>
        </w:tc>
        <w:tc>
          <w:tcPr>
            <w:tcW w:type="dxa" w:w="68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발주기관이 지정한 담당자 및 운영사 관리 권한자에 한하여 부여하며, 권한은 역할 기반(RBAC)으로 최소화함</w:t>
            </w:r>
          </w:p>
        </w:tc>
      </w:tr>
      <w:tr>
        <w:tc>
          <w:tcPr>
            <w:tcW w:type="dxa" w:w="22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관리자 열람 범위</w:t>
            </w:r>
          </w:p>
        </w:tc>
        <w:tc>
          <w:tcPr>
            <w:tcW w:type="dxa" w:w="68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비식별 처리된 로그에 한하여 열람 가능하며, 모든 열람 행위는 열람자·일시·대상이 감사 로그로 기록됨</w:t>
            </w:r>
          </w:p>
        </w:tc>
      </w:tr>
      <w:tr>
        <w:tc>
          <w:tcPr>
            <w:tcW w:type="dxa" w:w="22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삭제 기준·파기절차</w:t>
            </w:r>
          </w:p>
        </w:tc>
        <w:tc>
          <w:tcPr>
            <w:tcW w:type="dxa" w:w="68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보관기간 경과 시 배치 작업으로 자동 파기하고 파기 이력을 기록함. 발주기관 요청 시 즉시 파기를 지원하며, 사업 종료 시 전체 로그의 이관 또는 완전 파기를 발주기관 지침에 따라 수행함</w:t>
            </w:r>
          </w:p>
        </w:tc>
      </w:tr>
    </w:tbl>
    <w:p>
      <w:pPr>
        <w:spacing w:after="160"/>
      </w:pP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본 정책은 「개인정보 보호법」 및 발주기관 개인정보 처리방침과 정합성을 유지하도록 착수 단계에서 발주기관과 협의하여 확정하고, 고지 문안에 반영함</w:t>
      </w:r>
    </w:p>
    <w:p>
      <w:r>
        <w:br w:type="page"/>
      </w:r>
    </w:p>
    <w:p>
      <w:pPr>
        <w:pStyle w:val="Heading1"/>
        <w:pBdr>
          <w:bottom w:val="single" w:color="2E5FA3" w:sz="12" w:space="4"/>
        </w:pBdr>
        <w:spacing w:after="200" w:before="360"/>
      </w:pPr>
      <w:r>
        <w:rPr>
          <w:rFonts w:ascii="맑은 고딕" w:cs="맑은 고딕" w:eastAsia="맑은 고딕" w:hAnsi="맑은 고딕"/>
          <w:b/>
          <w:bCs/>
          <w:color w:val="1B2A41"/>
          <w:sz w:val="28"/>
          <w:szCs w:val="28"/>
        </w:rPr>
        <w:t xml:space="preserve">6. CSAP 인증 클라우드 기반 인프라 및 보안</w:t>
      </w:r>
    </w:p>
    <w:p>
      <w:pPr>
        <w:pStyle w:val="Heading2"/>
        <w:spacing w:after="140" w:before="260"/>
      </w:pPr>
      <w:r>
        <w:rPr>
          <w:rFonts w:ascii="맑은 고딕" w:cs="맑은 고딕" w:eastAsia="맑은 고딕" w:hAnsi="맑은 고딕"/>
          <w:b/>
          <w:bCs/>
          <w:color w:val="2E5FA3"/>
          <w:sz w:val="23"/>
          <w:szCs w:val="23"/>
        </w:rPr>
        <w:t xml:space="preserve">6.1 클라우드 구성 방안</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전체 시스템은 KISA 클라우드서비스 보안인증(CSAP)을 획득한 클라우드 사업자의 공공기관 전용 존(공공존) 내 VPC에 구축함 (국내 주요 CSAP 인증 사업자: 네이버클라우드·KT클라우드·NHN클라우드 등)</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웹·챗봇 서비스 영역과 관리자(CMS) 영역을 서브넷 수준에서 분리하고, 관리자 영역은 IP 접근통제와 2단계 인증(2FA)을 적용함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웹/API 서버는 다중 가용영역(Multi-AZ) 이중화와 오토스케일을 적용하여 행사 기간 트래픽 급증에 대응함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데이터베이스는 자동 백업(일 단위) 및 시점 복구를 구성하고, 장애 시 복구목표(RTO/RPO)를 발주기관과 협의하여 운영 기준으로 확정함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클라우드 이용은 조달청 디지털서비스 전문계약제도(디지털서비스몰) 등록 상품을 활용하여 계약 절차를 간소화하는 방안을 병행 제시함</w:t>
      </w:r>
    </w:p>
    <w:p>
      <w:pPr>
        <w:pStyle w:val="Heading2"/>
        <w:spacing w:after="140" w:before="260"/>
      </w:pPr>
      <w:r>
        <w:rPr>
          <w:rFonts w:ascii="맑은 고딕" w:cs="맑은 고딕" w:eastAsia="맑은 고딕" w:hAnsi="맑은 고딕"/>
          <w:b/>
          <w:bCs/>
          <w:color w:val="2E5FA3"/>
          <w:sz w:val="23"/>
          <w:szCs w:val="23"/>
        </w:rPr>
        <w:t xml:space="preserve">6.2 LLM 도입 옵션 비교</w:t>
      </w:r>
    </w:p>
    <w:p>
      <w:pPr>
        <w:spacing w:after="140" w:line="300"/>
        <w:jc w:val="both"/>
      </w:pPr>
      <w:r>
        <w:rPr>
          <w:rFonts w:ascii="맑은 고딕" w:cs="맑은 고딕" w:eastAsia="맑은 고딕" w:hAnsi="맑은 고딕"/>
          <w:b w:val="false"/>
          <w:bCs w:val="false"/>
          <w:color w:val="222222"/>
          <w:sz w:val="20"/>
          <w:szCs w:val="20"/>
        </w:rPr>
        <w:t xml:space="preserve">CSAP 환경에서 질의 데이터가 공공존 외부로 유출되지 않는 것을 전제로, 아래 두 옵션을 제시하며 발주기관 정책·예산에 따라 착수 단계에서 확정함</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50"/>
        <w:gridCol w:w="3700"/>
        <w:gridCol w:w="3670"/>
      </w:tblGrid>
      <w:tr>
        <w:trPr>
          <w:tblHeader/>
        </w:trPr>
        <w:tc>
          <w:tcPr>
            <w:tcW w:type="dxa" w:w="165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구분</w:t>
            </w:r>
          </w:p>
        </w:tc>
        <w:tc>
          <w:tcPr>
            <w:tcW w:type="dxa" w:w="370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옵션 A. 공공 클라우드 제공 LLM API</w:t>
            </w:r>
          </w:p>
        </w:tc>
        <w:tc>
          <w:tcPr>
            <w:tcW w:type="dxa" w:w="367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옵션 B. 공공존 내 자체 호스팅 sLLM</w:t>
            </w:r>
          </w:p>
        </w:tc>
      </w:tr>
      <w:tr>
        <w:tc>
          <w:tcPr>
            <w:tcW w:type="dxa" w:w="165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개요</w:t>
            </w:r>
          </w:p>
        </w:tc>
        <w:tc>
          <w:tcPr>
            <w:tcW w:type="dxa" w:w="37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CSAP 인증 클라우드가 공공기관용으로 제공하는 LLM 서비스 이용 (예: 네이버클라우드 공공 하이퍼클로바X 등)</w:t>
            </w:r>
          </w:p>
        </w:tc>
        <w:tc>
          <w:tcPr>
            <w:tcW w:type="dxa" w:w="367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공개 가중치 한국어 특화 경량 LLM을 공공존 GPU 서버에 직접 설치·운영</w:t>
            </w:r>
          </w:p>
        </w:tc>
      </w:tr>
      <w:tr>
        <w:tc>
          <w:tcPr>
            <w:tcW w:type="dxa" w:w="165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데이터 처리</w:t>
            </w:r>
          </w:p>
        </w:tc>
        <w:tc>
          <w:tcPr>
            <w:tcW w:type="dxa" w:w="37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공공 클라우드 존 내부에서 처리, 계약상 학습 미활용 보장 확인</w:t>
            </w:r>
          </w:p>
        </w:tc>
        <w:tc>
          <w:tcPr>
            <w:tcW w:type="dxa" w:w="367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모든 데이터가 자체 VPC 내에서만 처리되어 외부 전송 자체가 없음</w:t>
            </w:r>
          </w:p>
        </w:tc>
      </w:tr>
      <w:tr>
        <w:tc>
          <w:tcPr>
            <w:tcW w:type="dxa" w:w="165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장점</w:t>
            </w:r>
          </w:p>
        </w:tc>
        <w:tc>
          <w:tcPr>
            <w:tcW w:type="dxa" w:w="37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한국어 품질 우수, GPU 운영 부담 없음, 초기 구축 신속</w:t>
            </w:r>
          </w:p>
        </w:tc>
        <w:tc>
          <w:tcPr>
            <w:tcW w:type="dxa" w:w="367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완전한 데이터 통제, 사용량 증가 시 비용 예측 용이, 모델 교체 유연</w:t>
            </w:r>
          </w:p>
        </w:tc>
      </w:tr>
      <w:tr>
        <w:tc>
          <w:tcPr>
            <w:tcW w:type="dxa" w:w="165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고려사항</w:t>
            </w:r>
          </w:p>
        </w:tc>
        <w:tc>
          <w:tcPr>
            <w:tcW w:type="dxa" w:w="37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API 호출량 기반 비용, 제공 모델 범위 내 선택</w:t>
            </w:r>
          </w:p>
        </w:tc>
        <w:tc>
          <w:tcPr>
            <w:tcW w:type="dxa" w:w="367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GPU 인프라 비용, 모델 운영 인력 필요</w:t>
            </w:r>
          </w:p>
        </w:tc>
      </w:tr>
      <w:tr>
        <w:tc>
          <w:tcPr>
            <w:tcW w:type="dxa" w:w="165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권고</w:t>
            </w:r>
          </w:p>
        </w:tc>
        <w:tc>
          <w:tcPr>
            <w:tcW w:type="dxa" w:w="37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본 사업 규모·일정 고려 시 기본안으로 권고</w:t>
            </w:r>
          </w:p>
        </w:tc>
        <w:tc>
          <w:tcPr>
            <w:tcW w:type="dxa" w:w="367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보안 요건 강화 또는 트래픽 급증 시 전환 가능한 대안으로 설계 (양 옵션 호환 구조)</w:t>
            </w:r>
          </w:p>
        </w:tc>
      </w:tr>
    </w:tbl>
    <w:p>
      <w:pPr>
        <w:spacing w:after="160"/>
      </w:pP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아키텍처는 LLM 교체 가능 구조(모델 추상화 계층)로 설계하여, 운영 중에도 옵션 A ↔ B 전환 및 신규 모델 도입이 서비스 중단 없이 가능하도록 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임베딩·리랭커 모델은 옵션과 무관하게 공공존 내 자체 구동을 기본으로 하여 지식자료·질의 데이터의 외부 전송을 차단함</w:t>
      </w:r>
    </w:p>
    <w:p>
      <w:pPr>
        <w:pStyle w:val="Heading2"/>
        <w:spacing w:after="140" w:before="260"/>
      </w:pPr>
      <w:r>
        <w:rPr>
          <w:rFonts w:ascii="맑은 고딕" w:cs="맑은 고딕" w:eastAsia="맑은 고딕" w:hAnsi="맑은 고딕"/>
          <w:b/>
          <w:bCs/>
          <w:color w:val="2E5FA3"/>
          <w:sz w:val="23"/>
          <w:szCs w:val="23"/>
        </w:rPr>
        <w:t xml:space="preserve">6.3 보안 설계</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네트워크 — WAF(웹방화벽), DDoS 방어, 전 구간 HTTPS(TLS 1.3) 암호화, 서브넷 분리 및 보안그룹 최소 허용 정책</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접근통제 — 역할 기반 접근제어(RBAC), 관리자 2단계 인증, 관리자망 IP 제한, 전체 관리 행위 감사 로그</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데이터 보호 — 저장 데이터 암호화(디스크·DB), 로그 비식별화(5장), 백업 데이터 암호화 보관</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점검 체계 — 오픈 전 웹 취약점 진단 및 조치, 운영 중 정기(분기) 취약점 점검, 보안 패치 관리 절차 운영</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프롬프트 보안 — 프롬프트 주입(Prompt Injection) 공격 대응을 위한 입력 필터링과 시스템 프롬프트 격리 구조를 적용하고, 지식자료 내 삽입형 명령 무력화 처리를 수행함</w:t>
      </w:r>
    </w:p>
    <w:p>
      <w:r>
        <w:br w:type="page"/>
      </w:r>
    </w:p>
    <w:p>
      <w:pPr>
        <w:pStyle w:val="Heading1"/>
        <w:pBdr>
          <w:bottom w:val="single" w:color="2E5FA3" w:sz="12" w:space="4"/>
        </w:pBdr>
        <w:spacing w:after="200" w:before="360"/>
      </w:pPr>
      <w:r>
        <w:rPr>
          <w:rFonts w:ascii="맑은 고딕" w:cs="맑은 고딕" w:eastAsia="맑은 고딕" w:hAnsi="맑은 고딕"/>
          <w:b/>
          <w:bCs/>
          <w:color w:val="1B2A41"/>
          <w:sz w:val="28"/>
          <w:szCs w:val="28"/>
        </w:rPr>
        <w:t xml:space="preserve">7. 품질관리 및 성능 목표</w:t>
      </w:r>
    </w:p>
    <w:p>
      <w:pPr>
        <w:pStyle w:val="Heading2"/>
        <w:spacing w:after="140" w:before="260"/>
      </w:pPr>
      <w:r>
        <w:rPr>
          <w:rFonts w:ascii="맑은 고딕" w:cs="맑은 고딕" w:eastAsia="맑은 고딕" w:hAnsi="맑은 고딕"/>
          <w:b/>
          <w:bCs/>
          <w:color w:val="2E5FA3"/>
          <w:sz w:val="23"/>
          <w:szCs w:val="23"/>
        </w:rPr>
        <w:t xml:space="preserve">7.1 평가 체계</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골든 평가셋 구축 — 발주기관과 협의하여 분류 체계별 대표 질의·정답·근거 문서로 구성된 평가 데이터셋(200문항 이상)을 구축 단계에서 작성함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정량 평가 자동화 — 파이프라인 변경 시마다 평가셋 전체를 자동 재평가하는 회귀 평가 체계를 적용하여, 개선 작업이 기존 품질을 훼손하지 않음을 검증함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평가 지표 — 답변 충실성(근거 일치율), 답변 관련성, 검색 정확도(정밀도·재현율), 출처 정확도(표기된 출처가 실제 근거인지), 답변 제한 적정성(답할 수 없는 질의를 올바르게 제한했는지)을 측정함</w:t>
      </w:r>
    </w:p>
    <w:p>
      <w:pPr>
        <w:pStyle w:val="Heading2"/>
        <w:spacing w:after="140" w:before="260"/>
      </w:pPr>
      <w:r>
        <w:rPr>
          <w:rFonts w:ascii="맑은 고딕" w:cs="맑은 고딕" w:eastAsia="맑은 고딕" w:hAnsi="맑은 고딕"/>
          <w:b/>
          <w:bCs/>
          <w:color w:val="2E5FA3"/>
          <w:sz w:val="23"/>
          <w:szCs w:val="23"/>
        </w:rPr>
        <w:t xml:space="preserve">7.2 성능 목표</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320"/>
      </w:tblGrid>
      <w:tr>
        <w:trPr>
          <w:tblHeader/>
        </w:trPr>
        <w:tc>
          <w:tcPr>
            <w:tcW w:type="dxa" w:w="330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지표</w:t>
            </w:r>
          </w:p>
        </w:tc>
        <w:tc>
          <w:tcPr>
            <w:tcW w:type="dxa" w:w="240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목표</w:t>
            </w:r>
          </w:p>
        </w:tc>
        <w:tc>
          <w:tcPr>
            <w:tcW w:type="dxa" w:w="332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측정 방법</w:t>
            </w:r>
          </w:p>
        </w:tc>
      </w:tr>
      <w:tr>
        <w:tc>
          <w:tcPr>
            <w:tcW w:type="dxa" w:w="33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답변 충실성(근거 일치율)</w:t>
            </w:r>
          </w:p>
        </w:tc>
        <w:tc>
          <w:tcPr>
            <w:tcW w:type="dxa" w:w="2400"/>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95% 이상</w:t>
            </w:r>
          </w:p>
        </w:tc>
        <w:tc>
          <w:tcPr>
            <w:tcW w:type="dxa" w:w="33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골든 평가셋 자동 평가 + 표본 수동 검수</w:t>
            </w:r>
          </w:p>
        </w:tc>
      </w:tr>
      <w:tr>
        <w:tc>
          <w:tcPr>
            <w:tcW w:type="dxa" w:w="33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출처 정확도</w:t>
            </w:r>
          </w:p>
        </w:tc>
        <w:tc>
          <w:tcPr>
            <w:tcW w:type="dxa" w:w="2400"/>
            <w:shd w:fill="F5F8FC"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98% 이상</w:t>
            </w:r>
          </w:p>
        </w:tc>
        <w:tc>
          <w:tcPr>
            <w:tcW w:type="dxa" w:w="33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답변 인용 출처와 실제 근거 대조</w:t>
            </w:r>
          </w:p>
        </w:tc>
      </w:tr>
      <w:tr>
        <w:tc>
          <w:tcPr>
            <w:tcW w:type="dxa" w:w="33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검색 재현율(Top-5)</w:t>
            </w:r>
          </w:p>
        </w:tc>
        <w:tc>
          <w:tcPr>
            <w:tcW w:type="dxa" w:w="2400"/>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90% 이상</w:t>
            </w:r>
          </w:p>
        </w:tc>
        <w:tc>
          <w:tcPr>
            <w:tcW w:type="dxa" w:w="33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평가셋 정답 근거 포함 여부</w:t>
            </w:r>
          </w:p>
        </w:tc>
      </w:tr>
      <w:tr>
        <w:tc>
          <w:tcPr>
            <w:tcW w:type="dxa" w:w="33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답변 제한 적정성</w:t>
            </w:r>
          </w:p>
        </w:tc>
        <w:tc>
          <w:tcPr>
            <w:tcW w:type="dxa" w:w="2400"/>
            <w:shd w:fill="F5F8FC"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95% 이상</w:t>
            </w:r>
          </w:p>
        </w:tc>
        <w:tc>
          <w:tcPr>
            <w:tcW w:type="dxa" w:w="33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범위 외 질의 표본 평가</w:t>
            </w:r>
          </w:p>
        </w:tc>
      </w:tr>
      <w:tr>
        <w:tc>
          <w:tcPr>
            <w:tcW w:type="dxa" w:w="33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평균 응답 시간</w:t>
            </w:r>
          </w:p>
        </w:tc>
        <w:tc>
          <w:tcPr>
            <w:tcW w:type="dxa" w:w="2400"/>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5초 이내</w:t>
            </w:r>
          </w:p>
        </w:tc>
        <w:tc>
          <w:tcPr>
            <w:tcW w:type="dxa" w:w="33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운영 모니터링(APM)</w:t>
            </w:r>
          </w:p>
        </w:tc>
      </w:tr>
      <w:tr>
        <w:tc>
          <w:tcPr>
            <w:tcW w:type="dxa" w:w="33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서비스 가용성</w:t>
            </w:r>
          </w:p>
        </w:tc>
        <w:tc>
          <w:tcPr>
            <w:tcW w:type="dxa" w:w="2400"/>
            <w:shd w:fill="F5F8FC"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99.5% 이상</w:t>
            </w:r>
          </w:p>
        </w:tc>
        <w:tc>
          <w:tcPr>
            <w:tcW w:type="dxa" w:w="33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월간 가동률 측정</w:t>
            </w:r>
          </w:p>
        </w:tc>
      </w:tr>
    </w:tbl>
    <w:p>
      <w:pPr>
        <w:spacing w:after="160"/>
      </w:pPr>
    </w:p>
    <w:p>
      <w:pPr>
        <w:spacing w:after="120" w:line="300"/>
        <w:jc w:val="both"/>
      </w:pPr>
      <w:r>
        <w:rPr>
          <w:rFonts w:ascii="맑은 고딕" w:cs="맑은 고딕" w:eastAsia="맑은 고딕" w:hAnsi="맑은 고딕"/>
          <w:b w:val="false"/>
          <w:bCs w:val="false"/>
          <w:color w:val="222222"/>
          <w:sz w:val="20"/>
          <w:szCs w:val="20"/>
        </w:rPr>
        <w:t xml:space="preserve">목표 수치는 검수 기준 협의 시 발주기관과 최종 확정하며, 오픈 전 통합시험에서 전 항목 충족을 확인함</w:t>
      </w:r>
    </w:p>
    <w:p>
      <w:pPr>
        <w:pStyle w:val="Heading2"/>
        <w:spacing w:after="140" w:before="260"/>
      </w:pPr>
      <w:r>
        <w:rPr>
          <w:rFonts w:ascii="맑은 고딕" w:cs="맑은 고딕" w:eastAsia="맑은 고딕" w:hAnsi="맑은 고딕"/>
          <w:b/>
          <w:bCs/>
          <w:color w:val="2E5FA3"/>
          <w:sz w:val="23"/>
          <w:szCs w:val="23"/>
        </w:rPr>
        <w:t xml:space="preserve">7.3 운영 개선 루프(HITL)</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일간 — 미답변·저품질 질의 검토큐 확인 및 긴급 지식자료 보완</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주간 — 이용 통계·만족도 리포트 검토, FAQ 후보 도출 및 발주기관 승인 요청</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월간 — 골든 평가셋 정기 재평가, 지표 추이 보고, 평가셋 갱신(신규 자료 반영)</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행사 전후 — 주요 행사 개최 전 관련 지식자료 집중 보강 및 부하 시험, 행사 후 질의 패턴 분석 반영</w:t>
      </w:r>
    </w:p>
    <w:p>
      <w:r>
        <w:br w:type="page"/>
      </w:r>
    </w:p>
    <w:p>
      <w:pPr>
        <w:pStyle w:val="Heading1"/>
        <w:pBdr>
          <w:bottom w:val="single" w:color="2E5FA3" w:sz="12" w:space="4"/>
        </w:pBdr>
        <w:spacing w:after="200" w:before="360"/>
      </w:pPr>
      <w:r>
        <w:rPr>
          <w:rFonts w:ascii="맑은 고딕" w:cs="맑은 고딕" w:eastAsia="맑은 고딕" w:hAnsi="맑은 고딕"/>
          <w:b/>
          <w:bCs/>
          <w:color w:val="1B2A41"/>
          <w:sz w:val="28"/>
          <w:szCs w:val="28"/>
        </w:rPr>
        <w:t xml:space="preserve">8. 개발 추진 일정 및 산출물</w:t>
      </w:r>
    </w:p>
    <w:p>
      <w:pPr>
        <w:pStyle w:val="Heading2"/>
        <w:spacing w:after="140" w:before="260"/>
      </w:pPr>
      <w:r>
        <w:rPr>
          <w:rFonts w:ascii="맑은 고딕" w:cs="맑은 고딕" w:eastAsia="맑은 고딕" w:hAnsi="맑은 고딕"/>
          <w:b/>
          <w:bCs/>
          <w:color w:val="2E5FA3"/>
          <w:sz w:val="23"/>
          <w:szCs w:val="23"/>
        </w:rPr>
        <w:t xml:space="preserve">8.1 추진 일정 (총 6개월 기준)</w:t>
      </w:r>
    </w:p>
    <w:p>
      <w:pPr>
        <w:spacing w:after="140" w:line="300"/>
        <w:jc w:val="both"/>
      </w:pPr>
      <w:r>
        <w:rPr>
          <w:rFonts w:ascii="맑은 고딕" w:cs="맑은 고딕" w:eastAsia="맑은 고딕" w:hAnsi="맑은 고딕"/>
          <w:b w:val="false"/>
          <w:bCs w:val="false"/>
          <w:color w:val="222222"/>
          <w:sz w:val="20"/>
          <w:szCs w:val="20"/>
        </w:rPr>
        <w:t xml:space="preserve">계약 일정에 따라 조정 가능한 표준 일정이며, 웹사이트 본 구축 일정과 연동하여 관리함</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400"/>
        <w:gridCol w:w="1520"/>
      </w:tblGrid>
      <w:tr>
        <w:trPr>
          <w:tblHeader/>
        </w:trPr>
        <w:tc>
          <w:tcPr>
            <w:tcW w:type="dxa" w:w="150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단계</w:t>
            </w:r>
          </w:p>
        </w:tc>
        <w:tc>
          <w:tcPr>
            <w:tcW w:type="dxa" w:w="260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기간</w:t>
            </w:r>
          </w:p>
        </w:tc>
        <w:tc>
          <w:tcPr>
            <w:tcW w:type="dxa" w:w="340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주요 내용</w:t>
            </w:r>
          </w:p>
        </w:tc>
        <w:tc>
          <w:tcPr>
            <w:tcW w:type="dxa" w:w="1520"/>
            <w:shd w:fill="2E5FA3"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bCs/>
                <w:color w:val="FFFFFF"/>
                <w:sz w:val="19"/>
                <w:szCs w:val="19"/>
              </w:rPr>
              <w:t xml:space="preserve">산출물</w:t>
            </w:r>
          </w:p>
        </w:tc>
      </w:tr>
      <w:tr>
        <w:tc>
          <w:tcPr>
            <w:tcW w:type="dxa" w:w="1500"/>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분석·설계</w:t>
            </w:r>
          </w:p>
        </w:tc>
        <w:tc>
          <w:tcPr>
            <w:tcW w:type="dxa" w:w="2600"/>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M1 ~ M2 초</w:t>
            </w:r>
          </w:p>
        </w:tc>
        <w:tc>
          <w:tcPr>
            <w:tcW w:type="dxa" w:w="34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요구사항 상세화, 지식자료 목록·분류 확정, 아키텍처 상세설계, 개인정보·로그 정책 협의, LLM 옵션 확정</w:t>
            </w:r>
          </w:p>
        </w:tc>
        <w:tc>
          <w:tcPr>
            <w:tcW w:type="dxa" w:w="15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요구정의서</w:t>
            </w:r>
          </w:p>
          <w:p>
            <w:pPr>
              <w:spacing w:after="20" w:line="264"/>
              <w:jc w:val="left"/>
            </w:pPr>
            <w:r>
              <w:rPr>
                <w:rFonts w:ascii="맑은 고딕" w:cs="맑은 고딕" w:eastAsia="맑은 고딕" w:hAnsi="맑은 고딕"/>
                <w:b w:val="false"/>
                <w:bCs w:val="false"/>
                <w:color w:val="222222"/>
                <w:sz w:val="18"/>
                <w:szCs w:val="18"/>
              </w:rPr>
              <w:t xml:space="preserve">설계서</w:t>
            </w:r>
          </w:p>
        </w:tc>
      </w:tr>
      <w:tr>
        <w:tc>
          <w:tcPr>
            <w:tcW w:type="dxa" w:w="1500"/>
            <w:shd w:fill="F5F8FC"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기반 구축</w:t>
            </w:r>
          </w:p>
        </w:tc>
        <w:tc>
          <w:tcPr>
            <w:tcW w:type="dxa" w:w="2600"/>
            <w:shd w:fill="F5F8FC"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M2 ~ M3</w:t>
            </w:r>
          </w:p>
        </w:tc>
        <w:tc>
          <w:tcPr>
            <w:tcW w:type="dxa" w:w="34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CSAP 클라우드 공공존 환경 구성, 보안 설계 적용, CMS·인덱싱 파이프라인 개발</w:t>
            </w:r>
          </w:p>
        </w:tc>
        <w:tc>
          <w:tcPr>
            <w:tcW w:type="dxa" w:w="15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인프라 구성서</w:t>
            </w:r>
          </w:p>
          <w:p>
            <w:pPr>
              <w:spacing w:after="20" w:line="264"/>
              <w:jc w:val="left"/>
            </w:pPr>
            <w:r>
              <w:rPr>
                <w:rFonts w:ascii="맑은 고딕" w:cs="맑은 고딕" w:eastAsia="맑은 고딕" w:hAnsi="맑은 고딕"/>
                <w:b w:val="false"/>
                <w:bCs w:val="false"/>
                <w:color w:val="222222"/>
                <w:sz w:val="18"/>
                <w:szCs w:val="18"/>
              </w:rPr>
              <w:t xml:space="preserve">CMS(1차)</w:t>
            </w:r>
          </w:p>
        </w:tc>
      </w:tr>
      <w:tr>
        <w:tc>
          <w:tcPr>
            <w:tcW w:type="dxa" w:w="1500"/>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챗봇 구축</w:t>
            </w:r>
          </w:p>
        </w:tc>
        <w:tc>
          <w:tcPr>
            <w:tcW w:type="dxa" w:w="2600"/>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M3 ~ M4</w:t>
            </w:r>
          </w:p>
        </w:tc>
        <w:tc>
          <w:tcPr>
            <w:tcW w:type="dxa" w:w="34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RAG 파이프라인 개발, 출처 연계·가드레일·검증 로직 구현, 챗봇 UI 개발, 지식자료 초기 적재</w:t>
            </w:r>
          </w:p>
        </w:tc>
        <w:tc>
          <w:tcPr>
            <w:tcW w:type="dxa" w:w="15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챗봇(베타)</w:t>
            </w:r>
          </w:p>
          <w:p>
            <w:pPr>
              <w:spacing w:after="20" w:line="264"/>
              <w:jc w:val="left"/>
            </w:pPr>
            <w:r>
              <w:rPr>
                <w:rFonts w:ascii="맑은 고딕" w:cs="맑은 고딕" w:eastAsia="맑은 고딕" w:hAnsi="맑은 고딕"/>
                <w:b w:val="false"/>
                <w:bCs w:val="false"/>
                <w:color w:val="222222"/>
                <w:sz w:val="18"/>
                <w:szCs w:val="18"/>
              </w:rPr>
              <w:t xml:space="preserve">적재 보고</w:t>
            </w:r>
          </w:p>
        </w:tc>
      </w:tr>
      <w:tr>
        <w:tc>
          <w:tcPr>
            <w:tcW w:type="dxa" w:w="1500"/>
            <w:shd w:fill="F5F8FC"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시험·안정화</w:t>
            </w:r>
          </w:p>
        </w:tc>
        <w:tc>
          <w:tcPr>
            <w:tcW w:type="dxa" w:w="2600"/>
            <w:shd w:fill="F5F8FC" w:val="clear"/>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M5</w:t>
            </w:r>
          </w:p>
        </w:tc>
        <w:tc>
          <w:tcPr>
            <w:tcW w:type="dxa" w:w="340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골든 평가셋 평가, 통합시험, 취약점 진단·조치, 부하시험, 발주기관 검수</w:t>
            </w:r>
          </w:p>
        </w:tc>
        <w:tc>
          <w:tcPr>
            <w:tcW w:type="dxa" w:w="1520"/>
            <w:shd w:fill="F5F8FC" w:val="clear"/>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시험 결과서</w:t>
            </w:r>
          </w:p>
          <w:p>
            <w:pPr>
              <w:spacing w:after="20" w:line="264"/>
              <w:jc w:val="left"/>
            </w:pPr>
            <w:r>
              <w:rPr>
                <w:rFonts w:ascii="맑은 고딕" w:cs="맑은 고딕" w:eastAsia="맑은 고딕" w:hAnsi="맑은 고딕"/>
                <w:b w:val="false"/>
                <w:bCs w:val="false"/>
                <w:color w:val="222222"/>
                <w:sz w:val="18"/>
                <w:szCs w:val="18"/>
              </w:rPr>
              <w:t xml:space="preserve">평가 보고서</w:t>
            </w:r>
          </w:p>
        </w:tc>
      </w:tr>
      <w:tr>
        <w:tc>
          <w:tcPr>
            <w:tcW w:type="dxa" w:w="1500"/>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오픈·이관</w:t>
            </w:r>
          </w:p>
        </w:tc>
        <w:tc>
          <w:tcPr>
            <w:tcW w:type="dxa" w:w="2600"/>
            <w:tcMar>
              <w:top w:type="dxa" w:w="70"/>
              <w:left w:type="dxa" w:w="100"/>
              <w:bottom w:type="dxa" w:w="70"/>
              <w:right w:type="dxa" w:w="100"/>
            </w:tcMar>
            <w:vAlign w:val="center"/>
          </w:tcPr>
          <w:p>
            <w:pPr>
              <w:spacing w:after="20" w:line="264"/>
              <w:jc w:val="center"/>
            </w:pPr>
            <w:r>
              <w:rPr>
                <w:rFonts w:ascii="맑은 고딕" w:cs="맑은 고딕" w:eastAsia="맑은 고딕" w:hAnsi="맑은 고딕"/>
                <w:b w:val="false"/>
                <w:bCs w:val="false"/>
                <w:color w:val="222222"/>
                <w:sz w:val="18"/>
                <w:szCs w:val="18"/>
              </w:rPr>
              <w:t xml:space="preserve">M6</w:t>
            </w:r>
          </w:p>
        </w:tc>
        <w:tc>
          <w:tcPr>
            <w:tcW w:type="dxa" w:w="340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정식 오픈, 관리자 교육, 운영 매뉴얼 인계, 초기 안정화 집중 모니터링</w:t>
            </w:r>
          </w:p>
        </w:tc>
        <w:tc>
          <w:tcPr>
            <w:tcW w:type="dxa" w:w="1520"/>
            <w:tcMar>
              <w:top w:type="dxa" w:w="70"/>
              <w:left w:type="dxa" w:w="100"/>
              <w:bottom w:type="dxa" w:w="70"/>
              <w:right w:type="dxa" w:w="100"/>
            </w:tcMar>
            <w:vAlign w:val="center"/>
          </w:tcPr>
          <w:p>
            <w:pPr>
              <w:spacing w:after="20" w:line="264"/>
              <w:jc w:val="left"/>
            </w:pPr>
            <w:r>
              <w:rPr>
                <w:rFonts w:ascii="맑은 고딕" w:cs="맑은 고딕" w:eastAsia="맑은 고딕" w:hAnsi="맑은 고딕"/>
                <w:b w:val="false"/>
                <w:bCs w:val="false"/>
                <w:color w:val="222222"/>
                <w:sz w:val="18"/>
                <w:szCs w:val="18"/>
              </w:rPr>
              <w:t xml:space="preserve">운영 매뉴얼</w:t>
            </w:r>
          </w:p>
          <w:p>
            <w:pPr>
              <w:spacing w:after="20" w:line="264"/>
              <w:jc w:val="left"/>
            </w:pPr>
            <w:r>
              <w:rPr>
                <w:rFonts w:ascii="맑은 고딕" w:cs="맑은 고딕" w:eastAsia="맑은 고딕" w:hAnsi="맑은 고딕"/>
                <w:b w:val="false"/>
                <w:bCs w:val="false"/>
                <w:color w:val="222222"/>
                <w:sz w:val="18"/>
                <w:szCs w:val="18"/>
              </w:rPr>
              <w:t xml:space="preserve">교육 자료</w:t>
            </w:r>
          </w:p>
        </w:tc>
      </w:tr>
    </w:tbl>
    <w:p>
      <w:pPr>
        <w:spacing w:after="160"/>
      </w:pPr>
    </w:p>
    <w:p>
      <w:pPr>
        <w:pStyle w:val="Heading2"/>
        <w:spacing w:after="140" w:before="260"/>
      </w:pPr>
      <w:r>
        <w:rPr>
          <w:rFonts w:ascii="맑은 고딕" w:cs="맑은 고딕" w:eastAsia="맑은 고딕" w:hAnsi="맑은 고딕"/>
          <w:b/>
          <w:bCs/>
          <w:color w:val="2E5FA3"/>
          <w:sz w:val="23"/>
          <w:szCs w:val="23"/>
        </w:rPr>
        <w:t xml:space="preserve">8.2 관리 방안</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주간 진척 보고 및 월간 정기 보고회를 운영하며, 지식자료 확보·승인 등 발주기관 협조 필요 사항은 착수 시 일정표로 명확히 공유함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웹사이트 본 구축과의 연계 지점(디자인 시스템, 회원·페이지 연동, CMS 통합)은 통합 일정에서 별도 관리함</w:t>
      </w:r>
    </w:p>
    <w:p>
      <w:r>
        <w:br w:type="page"/>
      </w:r>
    </w:p>
    <w:p>
      <w:pPr>
        <w:pStyle w:val="Heading1"/>
        <w:pBdr>
          <w:bottom w:val="single" w:color="2E5FA3" w:sz="12" w:space="4"/>
        </w:pBdr>
        <w:spacing w:after="200" w:before="360"/>
      </w:pPr>
      <w:r>
        <w:rPr>
          <w:rFonts w:ascii="맑은 고딕" w:cs="맑은 고딕" w:eastAsia="맑은 고딕" w:hAnsi="맑은 고딕"/>
          <w:b/>
          <w:bCs/>
          <w:color w:val="1B2A41"/>
          <w:sz w:val="28"/>
          <w:szCs w:val="28"/>
        </w:rPr>
        <w:t xml:space="preserve">9. 운영 및 유지관리 계획</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운영 체계 — 서비스 총괄(PM), 지식자료 운영 담당, 기술 운영 담당으로 역할을 구분하고 발주기관 담당자와의 단일 소통 창구를 운영함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모니터링 — 응답 시간·오류율·가용성 실시간 모니터링(APM) 및 임계치 초과 시 자동 알림 체계를 운영함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지식자료 갱신 — 행사 일정·프로그램 변경 등 수시 갱신과 정책자료 개정 반영을 CMS 기반으로 신속 처리하고, 4.3의 파이프라인으로 챗봇에 즉시 반영함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장애 대응 — 장애 등급별 대응 시간(예: 1등급 1시간 이내 착수)을 정의한 SLA를 운영하고, 장애 보고·재발 방지 절차를 문서화함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관리자 교육 — CMS 지식자료 관리, 검토큐 처리, 통계 활용에 대한 교육을 오픈 전 실시하고 화면 중심 운영 매뉴얼을 제공함</w:t>
      </w:r>
    </w:p>
    <w:p>
      <w:pPr>
        <w:pStyle w:val="ListParagraph"/>
        <w:numPr>
          <w:ilvl w:val="0"/>
          <w:numId w:val="2"/>
        </w:numPr>
        <w:spacing w:after="80" w:line="290"/>
      </w:pPr>
      <w:r>
        <w:rPr>
          <w:rFonts w:ascii="맑은 고딕" w:cs="맑은 고딕" w:eastAsia="맑은 고딕" w:hAnsi="맑은 고딕"/>
          <w:b w:val="false"/>
          <w:bCs w:val="false"/>
          <w:color w:val="222222"/>
          <w:sz w:val="20"/>
          <w:szCs w:val="20"/>
        </w:rPr>
        <w:t xml:space="preserve">품질 개선 — 7.3의 개선 루프에 따라 답변 품질을 상시 관리하며, 월간 품질 보고서를 발주기관에 제출함</w:t>
      </w:r>
    </w:p>
    <w:p>
      <w:pPr>
        <w:spacing w:after="300"/>
      </w:pPr>
    </w:p>
    <w:p>
      <w:pPr>
        <w:spacing w:before="400"/>
        <w:jc w:val="center"/>
      </w:pPr>
      <w:r>
        <w:rPr>
          <w:rFonts w:ascii="맑은 고딕" w:cs="맑은 고딕" w:eastAsia="맑은 고딕" w:hAnsi="맑은 고딕"/>
          <w:b w:val="false"/>
          <w:bCs w:val="false"/>
          <w:color w:val="888888"/>
          <w:sz w:val="20"/>
          <w:szCs w:val="20"/>
        </w:rPr>
        <w:t xml:space="preserve">— 이상 —</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맑은 고딕" w:cs="맑은 고딕" w:eastAsia="맑은 고딕" w:hAnsi="맑은 고딕"/>
        <w:color w:val="2E5FA3"/>
      </w:rPr>
    </w:lvl>
    <w:lvl w:ilvl="1" w15:tentative="1">
      <w:start w:val="1"/>
      <w:numFmt w:val="bullet"/>
      <w:lvlText w:val="–"/>
      <w:lvlJc w:val="left"/>
      <w:pPr>
        <w:ind w:left="760" w:hanging="240"/>
      </w:pPr>
      <w:rPr>
        <w:rFonts w:ascii="맑은 고딕" w:cs="맑은 고딕" w:eastAsia="맑은 고딕" w:hAnsi="맑은 고딕"/>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8e8dd28d450434b78a0c5d15429d153921b4d9.png"/><Relationship Id="rId8" Type="http://schemas.openxmlformats.org/officeDocument/2006/relationships/image" Target="media/038c2e2980041ca93d499e7654cd493b4e384c00.png"/><Relationship Id="rId9" Type="http://schemas.openxmlformats.org/officeDocument/2006/relationships/image" Target="media/b5915a60aa5167ae807e59451dd88c113e9d2d53.png"/><Relationship Id="rId10" Type="http://schemas.openxmlformats.org/officeDocument/2006/relationships/image" Target="media/579b198a020f7d90055a5fa3d5afdc4531ca7ce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2026-07-06T10:47:57.406Z</dcterms:created>
  <dcterms:modified xsi:type="dcterms:W3CDTF">2026-07-06T10:47:57.406Z</dcterms:modified>
</cp:coreProperties>
</file>

<file path=docProps/custom.xml><?xml version="1.0" encoding="utf-8"?>
<Properties xmlns="http://schemas.openxmlformats.org/officeDocument/2006/custom-properties" xmlns:vt="http://schemas.openxmlformats.org/officeDocument/2006/docPropsVTypes"/>
</file>