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8"/>
          <w:szCs w:val="28"/>
        </w:rPr>
        <w:instrText xml:space="preserve">ADDIN CNKISM.UserStyle</w:instrText>
      </w:r>
      <w:r>
        <w:rPr>
          <w:sz w:val="28"/>
          <w:szCs w:val="28"/>
        </w:rPr>
        <w:fldChar w:fldCharType="end"/>
      </w:r>
      <w:r>
        <w:rPr>
          <w:sz w:val="28"/>
          <w:szCs w:val="28"/>
        </w:rPr>
        <mc:AlternateContent>
          <mc:Choice Requires="wps">
            <w:drawing>
              <wp:anchor distT="0" distB="0" distL="114300" distR="114300" simplePos="0" relativeHeight="251659264" behindDoc="0" locked="0" layoutInCell="1" allowOverlap="1">
                <wp:simplePos x="0" y="0"/>
                <wp:positionH relativeFrom="column">
                  <wp:posOffset>5194935</wp:posOffset>
                </wp:positionH>
                <wp:positionV relativeFrom="paragraph">
                  <wp:posOffset>-495935</wp:posOffset>
                </wp:positionV>
                <wp:extent cx="1388110" cy="360680"/>
                <wp:effectExtent l="0" t="0" r="3175" b="3810"/>
                <wp:wrapNone/>
                <wp:docPr id="10" name="Rectangle 104"/>
                <wp:cNvGraphicFramePr/>
                <a:graphic xmlns:a="http://schemas.openxmlformats.org/drawingml/2006/main">
                  <a:graphicData uri="http://schemas.microsoft.com/office/word/2010/wordprocessingShape">
                    <wps:wsp>
                      <wps:cNvSpPr>
                        <a:spLocks noChangeArrowheads="1"/>
                      </wps:cNvSpPr>
                      <wps:spPr bwMode="auto">
                        <a:xfrm>
                          <a:off x="0" y="0"/>
                          <a:ext cx="1388110" cy="360680"/>
                        </a:xfrm>
                        <a:prstGeom prst="rect">
                          <a:avLst/>
                        </a:prstGeom>
                        <a:noFill/>
                        <a:ln>
                          <a:noFill/>
                        </a:ln>
                      </wps:spPr>
                      <wps:txbx>
                        <w:txbxContent>
                          <w:p>
                            <w:pPr>
                              <w:spacing w:line="300" w:lineRule="exact"/>
                              <w:rPr>
                                <w:sz w:val="24"/>
                              </w:rPr>
                            </w:pPr>
                          </w:p>
                        </w:txbxContent>
                      </wps:txbx>
                      <wps:bodyPr rot="0" vert="horz" wrap="square" lIns="91440" tIns="45720" rIns="91440" bIns="45720" anchor="t" anchorCtr="0" upright="1">
                        <a:noAutofit/>
                      </wps:bodyPr>
                    </wps:wsp>
                  </a:graphicData>
                </a:graphic>
              </wp:anchor>
            </w:drawing>
          </mc:Choice>
          <mc:Fallback>
            <w:pict>
              <v:rect id="Rectangle 104" o:spid="_x0000_s1026" o:spt="1" style="position:absolute;left:0pt;margin-left:409.05pt;margin-top:-39.05pt;height:28.4pt;width:109.3pt;z-index:251659264;mso-width-relative:page;mso-height-relative:page;" filled="f" stroked="f" coordsize="21600,21600" o:gfxdata="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x1BX9sAAAAMAQAADwAAAAAAAAABACAAAAAiAAAA&#10;ZHJzL2Rvd25yZXYueG1sUEsBAhQAFAAAAAgAh07iQIHbO9MEAgAADgQAAA4AAAAAAAAAAQAgAAAA&#10;KgEAAGRycy9lMm9Eb2MueG1sUEsFBgAAAAAGAAYAWQEAAKAFAAAAAA==&#10;">
                <v:fill on="f" focussize="0,0"/>
                <v:stroke on="f"/>
                <v:imagedata o:title=""/>
                <o:lock v:ext="edit" aspectratio="f"/>
                <v:textbox>
                  <w:txbxContent>
                    <w:p>
                      <w:pPr>
                        <w:spacing w:line="300" w:lineRule="exact"/>
                        <w:rPr>
                          <w:sz w:val="24"/>
                        </w:rPr>
                      </w:pPr>
                    </w:p>
                  </w:txbxContent>
                </v:textbox>
              </v:rect>
            </w:pict>
          </mc:Fallback>
        </mc:AlternateContent>
      </w:r>
    </w:p>
    <w:p>
      <w:pPr>
        <w:rPr>
          <w:color w:val="FF0000"/>
          <w:sz w:val="32"/>
          <w:szCs w:val="20"/>
        </w:rPr>
      </w:pPr>
      <w:r>
        <w:rPr>
          <w:rFonts w:hint="eastAsia" w:ascii="黑体" w:hAnsi="黑体" w:eastAsia="黑体"/>
          <w:color w:val="FF0000"/>
          <w:highlight w:val="none"/>
          <w:lang w:eastAsia="zh-CN"/>
        </w:rPr>
        <w:t>（</w:t>
      </w:r>
      <w:r>
        <w:rPr>
          <w:rFonts w:hint="eastAsia" w:ascii="黑体" w:hAnsi="黑体" w:eastAsia="黑体"/>
          <w:color w:val="FF0000"/>
          <w:highlight w:val="none"/>
          <w:lang w:val="en-US" w:eastAsia="zh-CN"/>
        </w:rPr>
        <w:t>以下</w:t>
      </w:r>
      <w:r>
        <w:rPr>
          <w:rFonts w:hint="eastAsia" w:ascii="黑体" w:hAnsi="黑体" w:eastAsia="黑体"/>
          <w:color w:val="FF0000"/>
          <w:highlight w:val="none"/>
        </w:rPr>
        <w:t>括号内</w:t>
      </w:r>
      <w:r>
        <w:rPr>
          <w:rFonts w:hint="eastAsia" w:ascii="黑体" w:hAnsi="黑体" w:eastAsia="黑体"/>
          <w:color w:val="FF0000"/>
          <w:highlight w:val="none"/>
          <w:lang w:val="en-US" w:eastAsia="zh-CN"/>
        </w:rPr>
        <w:t>标红</w:t>
      </w:r>
      <w:r>
        <w:rPr>
          <w:rFonts w:hint="eastAsia" w:ascii="黑体" w:hAnsi="黑体" w:eastAsia="黑体"/>
          <w:color w:val="FF0000"/>
          <w:highlight w:val="none"/>
        </w:rPr>
        <w:t>文字为说明文字，论文定稿后应删除</w:t>
      </w:r>
      <w:r>
        <w:rPr>
          <w:rFonts w:hint="eastAsia" w:ascii="黑体" w:hAnsi="黑体" w:eastAsia="黑体"/>
          <w:color w:val="FF0000"/>
          <w:highlight w:val="none"/>
          <w:lang w:eastAsia="zh-CN"/>
        </w:rPr>
        <w:t>）</w:t>
      </w:r>
    </w:p>
    <w:p>
      <w:pPr>
        <w:rPr>
          <w:sz w:val="28"/>
          <w:szCs w:val="28"/>
        </w:rPr>
      </w:pPr>
    </w:p>
    <w:p>
      <w:pPr>
        <w:spacing w:line="580" w:lineRule="exact"/>
        <w:rPr>
          <w:rFonts w:hint="eastAsia" w:ascii="黑体" w:hAnsi="黑体" w:eastAsia="黑体"/>
        </w:rPr>
      </w:pPr>
    </w:p>
    <w:p>
      <w:pPr>
        <w:tabs>
          <w:tab w:val="left" w:pos="1800"/>
          <w:tab w:val="left" w:pos="9000"/>
        </w:tabs>
        <w:spacing w:line="360" w:lineRule="auto"/>
        <w:jc w:val="center"/>
        <w:rPr>
          <w:rFonts w:hint="eastAsia" w:ascii="宋体" w:hAnsi="宋体"/>
          <w:b/>
          <w:bCs/>
          <w:sz w:val="84"/>
          <w:szCs w:val="72"/>
          <w:highlight w:val="yellow"/>
        </w:rPr>
      </w:pPr>
      <w:bookmarkStart w:id="0" w:name="_Hlk139556403"/>
      <w:r>
        <w:rPr>
          <w:rFonts w:eastAsia="黑体"/>
        </w:rPr>
        <w:drawing>
          <wp:inline distT="0" distB="0" distL="114300" distR="114300">
            <wp:extent cx="3348355" cy="694055"/>
            <wp:effectExtent l="0" t="0" r="4445" b="10795"/>
            <wp:docPr id="1"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名"/>
                    <pic:cNvPicPr>
                      <a:picLocks noChangeAspect="1"/>
                    </pic:cNvPicPr>
                  </pic:nvPicPr>
                  <pic:blipFill>
                    <a:blip r:embed="rId13"/>
                    <a:stretch>
                      <a:fillRect/>
                    </a:stretch>
                  </pic:blipFill>
                  <pic:spPr>
                    <a:xfrm>
                      <a:off x="0" y="0"/>
                      <a:ext cx="3348355" cy="694055"/>
                    </a:xfrm>
                    <a:prstGeom prst="rect">
                      <a:avLst/>
                    </a:prstGeom>
                    <a:noFill/>
                    <a:ln>
                      <a:noFill/>
                    </a:ln>
                  </pic:spPr>
                </pic:pic>
              </a:graphicData>
            </a:graphic>
          </wp:inline>
        </w:drawing>
      </w:r>
      <w:bookmarkEnd w:id="0"/>
    </w:p>
    <w:p>
      <w:pPr>
        <w:tabs>
          <w:tab w:val="left" w:pos="1800"/>
          <w:tab w:val="left" w:pos="9000"/>
        </w:tabs>
        <w:spacing w:line="360" w:lineRule="auto"/>
        <w:jc w:val="center"/>
        <w:rPr>
          <w:rFonts w:hint="eastAsia" w:ascii="宋体" w:hAnsi="宋体"/>
          <w:b/>
          <w:bCs/>
          <w:sz w:val="18"/>
          <w:szCs w:val="18"/>
        </w:rPr>
      </w:pPr>
      <w:r>
        <w:rPr>
          <w:rFonts w:hint="eastAsia" w:ascii="宋体" w:hAnsi="宋体"/>
          <w:b/>
          <w:bCs/>
          <w:sz w:val="84"/>
          <w:szCs w:val="72"/>
        </w:rPr>
        <w:t>本科毕业论文(设计)</w:t>
      </w:r>
    </w:p>
    <w:p>
      <w:pPr>
        <w:tabs>
          <w:tab w:val="left" w:pos="8100"/>
        </w:tabs>
        <w:jc w:val="center"/>
        <w:rPr>
          <w:rFonts w:hint="eastAsia" w:ascii="宋体" w:hAnsi="宋体" w:eastAsia="宋体"/>
          <w:color w:val="FF0000"/>
          <w:sz w:val="36"/>
          <w:szCs w:val="36"/>
          <w:lang w:eastAsia="zh-CN"/>
        </w:rPr>
      </w:pPr>
      <w:r>
        <w:rPr>
          <w:rFonts w:hint="eastAsia" w:ascii="宋体" w:hAnsi="宋体"/>
          <w:color w:val="FF0000"/>
          <w:sz w:val="36"/>
          <w:szCs w:val="36"/>
        </w:rPr>
        <w:t>(“设计”不要去掉</w:t>
      </w:r>
      <w:r>
        <w:rPr>
          <w:rFonts w:hint="eastAsia" w:ascii="宋体" w:hAnsi="宋体"/>
          <w:color w:val="FF0000"/>
          <w:sz w:val="36"/>
          <w:szCs w:val="36"/>
          <w:lang w:eastAsia="zh-CN"/>
        </w:rPr>
        <w:t>，</w:t>
      </w:r>
      <w:r>
        <w:rPr>
          <w:rFonts w:hint="eastAsia" w:ascii="宋体" w:hAnsi="宋体"/>
          <w:color w:val="FF0000"/>
          <w:sz w:val="36"/>
          <w:szCs w:val="36"/>
        </w:rPr>
        <w:t>封面</w:t>
      </w:r>
      <w:r>
        <w:rPr>
          <w:rFonts w:ascii="宋体" w:hAnsi="宋体"/>
          <w:color w:val="FF0000"/>
          <w:sz w:val="36"/>
          <w:szCs w:val="36"/>
        </w:rPr>
        <w:t>不要页眉</w:t>
      </w:r>
      <w:r>
        <w:rPr>
          <w:rFonts w:hint="eastAsia" w:ascii="宋体" w:hAnsi="宋体"/>
          <w:color w:val="FF0000"/>
          <w:sz w:val="36"/>
          <w:szCs w:val="36"/>
          <w:lang w:eastAsia="zh-CN"/>
        </w:rPr>
        <w:t>）</w:t>
      </w:r>
    </w:p>
    <w:p>
      <w:pPr>
        <w:tabs>
          <w:tab w:val="left" w:pos="8100"/>
        </w:tabs>
        <w:jc w:val="center"/>
        <w:rPr>
          <w:rFonts w:ascii="宋体" w:hAnsi="宋体"/>
          <w:sz w:val="36"/>
          <w:szCs w:val="36"/>
        </w:rPr>
      </w:pPr>
    </w:p>
    <w:p>
      <w:pPr>
        <w:tabs>
          <w:tab w:val="left" w:pos="7560"/>
        </w:tabs>
        <w:jc w:val="center"/>
        <w:rPr>
          <w:rFonts w:ascii="黑体" w:hAnsi="黑体" w:eastAsia="黑体"/>
          <w:b/>
          <w:bCs/>
          <w:sz w:val="48"/>
          <w:szCs w:val="48"/>
          <w:u w:val="none"/>
        </w:rPr>
      </w:pPr>
      <w:r>
        <w:rPr>
          <w:rFonts w:hint="eastAsia" w:ascii="黑体" w:hAnsi="黑体" w:eastAsia="黑体"/>
          <w:b/>
          <w:bCs/>
          <w:sz w:val="48"/>
          <w:szCs w:val="48"/>
          <w:u w:val="none"/>
        </w:rPr>
        <w:t>延迟退休对城镇职工养老金替代率的影响</w:t>
      </w:r>
    </w:p>
    <w:p>
      <w:pPr>
        <w:tabs>
          <w:tab w:val="left" w:pos="7560"/>
        </w:tabs>
        <w:jc w:val="center"/>
        <w:rPr>
          <w:b/>
          <w:bCs/>
          <w:sz w:val="48"/>
          <w:szCs w:val="48"/>
          <w:u w:val="none"/>
        </w:rPr>
      </w:pPr>
      <w:r>
        <w:rPr>
          <w:rFonts w:hint="eastAsia" w:ascii="黑体" w:hAnsi="黑体" w:eastAsia="黑体"/>
          <w:b/>
          <w:bCs/>
          <w:sz w:val="48"/>
          <w:szCs w:val="48"/>
          <w:u w:val="none"/>
        </w:rPr>
        <w:t>——以山东省为例</w:t>
      </w:r>
    </w:p>
    <w:p>
      <w:pPr>
        <w:ind w:firstLine="2530" w:firstLineChars="700"/>
        <w:jc w:val="left"/>
        <w:rPr>
          <w:rFonts w:ascii="宋体" w:hAnsi="宋体"/>
          <w:b/>
          <w:sz w:val="36"/>
          <w:szCs w:val="36"/>
        </w:rPr>
      </w:pPr>
    </w:p>
    <w:p>
      <w:pPr>
        <w:ind w:firstLine="1960" w:firstLineChars="700"/>
        <w:jc w:val="left"/>
        <w:rPr>
          <w:rFonts w:hint="eastAsia" w:ascii="宋体" w:hAnsi="宋体" w:eastAsia="宋体" w:cs="宋体"/>
          <w:b w:val="0"/>
          <w:bCs/>
          <w:sz w:val="28"/>
          <w:szCs w:val="28"/>
          <w:u w:val="single"/>
        </w:rPr>
      </w:pPr>
      <w:r>
        <w:rPr>
          <w:rFonts w:hint="eastAsia" w:ascii="宋体" w:hAnsi="宋体" w:eastAsia="宋体" w:cs="宋体"/>
          <w:b w:val="0"/>
          <w:bCs/>
          <w:sz w:val="28"/>
          <w:szCs w:val="28"/>
        </w:rPr>
        <w:t>学    院</w:t>
      </w:r>
      <w:r>
        <w:rPr>
          <w:rFonts w:hint="eastAsia" w:ascii="宋体" w:hAnsi="宋体" w:cs="宋体"/>
          <w:b w:val="0"/>
          <w:bCs/>
          <w:sz w:val="28"/>
          <w:szCs w:val="28"/>
          <w:lang w:eastAsia="zh-CN"/>
        </w:rPr>
        <w:t>：</w:t>
      </w:r>
      <w:r>
        <w:rPr>
          <w:rFonts w:hint="eastAsia" w:ascii="宋体" w:hAnsi="宋体" w:eastAsia="宋体" w:cs="宋体"/>
          <w:b w:val="0"/>
          <w:bCs/>
          <w:sz w:val="28"/>
          <w:szCs w:val="28"/>
          <w:u w:val="single"/>
        </w:rPr>
        <w:t xml:space="preserve">       *****学院         </w:t>
      </w:r>
    </w:p>
    <w:p>
      <w:pPr>
        <w:ind w:firstLine="1960" w:firstLineChars="700"/>
        <w:jc w:val="left"/>
        <w:rPr>
          <w:rFonts w:hint="eastAsia" w:ascii="宋体" w:hAnsi="宋体" w:eastAsia="宋体" w:cs="宋体"/>
          <w:b w:val="0"/>
          <w:bCs/>
          <w:sz w:val="28"/>
          <w:szCs w:val="28"/>
          <w:u w:val="single"/>
        </w:rPr>
      </w:pPr>
      <w:r>
        <w:rPr>
          <w:rFonts w:hint="eastAsia" w:ascii="宋体" w:hAnsi="宋体" w:eastAsia="宋体" w:cs="宋体"/>
          <w:b w:val="0"/>
          <w:bCs/>
          <w:sz w:val="28"/>
          <w:szCs w:val="28"/>
        </w:rPr>
        <w:t>专    业</w:t>
      </w:r>
      <w:r>
        <w:rPr>
          <w:rFonts w:hint="eastAsia" w:ascii="宋体" w:hAnsi="宋体" w:cs="宋体"/>
          <w:b w:val="0"/>
          <w:bCs/>
          <w:sz w:val="28"/>
          <w:szCs w:val="28"/>
          <w:lang w:eastAsia="zh-CN"/>
        </w:rPr>
        <w:t>：</w:t>
      </w:r>
      <w:r>
        <w:rPr>
          <w:rFonts w:hint="eastAsia" w:ascii="宋体" w:hAnsi="宋体" w:eastAsia="宋体" w:cs="宋体"/>
          <w:b w:val="0"/>
          <w:bCs/>
          <w:sz w:val="28"/>
          <w:szCs w:val="28"/>
          <w:u w:val="single"/>
        </w:rPr>
        <w:t xml:space="preserve">       *****             </w:t>
      </w:r>
    </w:p>
    <w:p>
      <w:pPr>
        <w:tabs>
          <w:tab w:val="left" w:pos="7020"/>
          <w:tab w:val="left" w:pos="7200"/>
          <w:tab w:val="left" w:pos="7560"/>
        </w:tabs>
        <w:ind w:firstLine="1960" w:firstLineChars="700"/>
        <w:jc w:val="left"/>
        <w:rPr>
          <w:rFonts w:hint="eastAsia" w:ascii="宋体" w:hAnsi="宋体" w:eastAsia="宋体" w:cs="宋体"/>
          <w:b w:val="0"/>
          <w:bCs/>
          <w:sz w:val="28"/>
          <w:szCs w:val="28"/>
          <w:u w:val="single"/>
        </w:rPr>
      </w:pPr>
      <w:r>
        <w:rPr>
          <w:rFonts w:hint="eastAsia" w:ascii="宋体" w:hAnsi="宋体" w:eastAsia="宋体" w:cs="宋体"/>
          <w:b w:val="0"/>
          <w:bCs/>
          <w:sz w:val="28"/>
          <w:szCs w:val="28"/>
        </w:rPr>
        <w:t>班    级</w:t>
      </w:r>
      <w:r>
        <w:rPr>
          <w:rFonts w:hint="eastAsia" w:ascii="宋体" w:hAnsi="宋体" w:cs="宋体"/>
          <w:b w:val="0"/>
          <w:bCs/>
          <w:sz w:val="28"/>
          <w:szCs w:val="28"/>
          <w:lang w:eastAsia="zh-CN"/>
        </w:rPr>
        <w:t>：</w:t>
      </w:r>
      <w:r>
        <w:rPr>
          <w:rFonts w:hint="eastAsia" w:ascii="宋体" w:hAnsi="宋体" w:eastAsia="宋体" w:cs="宋体"/>
          <w:b w:val="0"/>
          <w:bCs/>
          <w:sz w:val="28"/>
          <w:szCs w:val="28"/>
          <w:u w:val="single"/>
        </w:rPr>
        <w:t xml:space="preserve">   *****级*****班        </w:t>
      </w:r>
    </w:p>
    <w:p>
      <w:pPr>
        <w:tabs>
          <w:tab w:val="left" w:pos="7200"/>
        </w:tabs>
        <w:ind w:firstLine="1960" w:firstLineChars="700"/>
        <w:jc w:val="left"/>
        <w:rPr>
          <w:rFonts w:hint="eastAsia" w:ascii="宋体" w:hAnsi="宋体" w:eastAsia="宋体" w:cs="宋体"/>
          <w:b w:val="0"/>
          <w:bCs/>
          <w:sz w:val="28"/>
          <w:szCs w:val="28"/>
          <w:u w:val="single"/>
          <w:lang w:val="en-US" w:eastAsia="zh-CN"/>
        </w:rPr>
      </w:pPr>
      <w:r>
        <w:rPr>
          <w:rFonts w:hint="eastAsia" w:ascii="宋体" w:hAnsi="宋体" w:eastAsia="宋体" w:cs="宋体"/>
          <w:b w:val="0"/>
          <w:bCs/>
          <w:sz w:val="28"/>
          <w:szCs w:val="28"/>
        </w:rPr>
        <w:t>学    号</w:t>
      </w:r>
      <w:r>
        <w:rPr>
          <w:rFonts w:hint="eastAsia" w:ascii="宋体" w:hAnsi="宋体" w:cs="宋体"/>
          <w:b w:val="0"/>
          <w:bCs/>
          <w:sz w:val="28"/>
          <w:szCs w:val="28"/>
          <w:lang w:eastAsia="zh-CN"/>
        </w:rPr>
        <w:t>：</w:t>
      </w:r>
      <w:r>
        <w:rPr>
          <w:rFonts w:hint="eastAsia" w:ascii="宋体" w:hAnsi="宋体" w:eastAsia="宋体" w:cs="宋体"/>
          <w:b w:val="0"/>
          <w:bCs/>
          <w:sz w:val="28"/>
          <w:szCs w:val="28"/>
          <w:u w:val="single"/>
        </w:rPr>
        <w:t xml:space="preserve">        ******           </w:t>
      </w:r>
    </w:p>
    <w:p>
      <w:pPr>
        <w:tabs>
          <w:tab w:val="left" w:pos="7200"/>
        </w:tabs>
        <w:ind w:firstLine="1960" w:firstLineChars="700"/>
        <w:jc w:val="left"/>
        <w:rPr>
          <w:rFonts w:hint="default" w:ascii="宋体" w:hAnsi="宋体" w:eastAsia="宋体" w:cs="宋体"/>
          <w:b w:val="0"/>
          <w:bCs/>
          <w:sz w:val="28"/>
          <w:szCs w:val="28"/>
          <w:u w:val="single"/>
          <w:lang w:val="en-US" w:eastAsia="zh-CN"/>
        </w:rPr>
      </w:pPr>
      <w:r>
        <w:rPr>
          <w:rFonts w:hint="eastAsia" w:ascii="宋体" w:hAnsi="宋体" w:eastAsia="宋体" w:cs="宋体"/>
          <w:b w:val="0"/>
          <w:bCs/>
          <w:sz w:val="28"/>
          <w:szCs w:val="28"/>
        </w:rPr>
        <w:t>姓    名</w:t>
      </w:r>
      <w:r>
        <w:rPr>
          <w:rFonts w:hint="eastAsia" w:ascii="宋体" w:hAnsi="宋体" w:cs="宋体"/>
          <w:b w:val="0"/>
          <w:bCs/>
          <w:sz w:val="28"/>
          <w:szCs w:val="28"/>
          <w:lang w:eastAsia="zh-CN"/>
        </w:rPr>
        <w:t>：</w:t>
      </w:r>
      <w:r>
        <w:rPr>
          <w:rFonts w:hint="eastAsia" w:ascii="宋体" w:hAnsi="宋体" w:eastAsia="宋体" w:cs="宋体"/>
          <w:b w:val="0"/>
          <w:bCs/>
          <w:sz w:val="28"/>
          <w:szCs w:val="28"/>
          <w:u w:val="single"/>
        </w:rPr>
        <w:t xml:space="preserve">          </w:t>
      </w:r>
      <w:r>
        <w:rPr>
          <w:rFonts w:hint="eastAsia" w:ascii="宋体" w:hAnsi="宋体" w:cs="宋体"/>
          <w:b w:val="0"/>
          <w:bCs/>
          <w:sz w:val="28"/>
          <w:szCs w:val="28"/>
          <w:u w:val="single"/>
          <w:lang w:val="en-US" w:eastAsia="zh-CN"/>
        </w:rPr>
        <w:t>张 三</w:t>
      </w:r>
      <w:r>
        <w:rPr>
          <w:rFonts w:hint="eastAsia" w:ascii="宋体" w:hAnsi="宋体" w:eastAsia="宋体" w:cs="宋体"/>
          <w:b w:val="0"/>
          <w:bCs/>
          <w:sz w:val="28"/>
          <w:szCs w:val="28"/>
          <w:u w:val="single"/>
        </w:rPr>
        <w:t xml:space="preserve">          </w:t>
      </w:r>
    </w:p>
    <w:p>
      <w:pPr>
        <w:tabs>
          <w:tab w:val="left" w:pos="7020"/>
          <w:tab w:val="left" w:pos="7200"/>
        </w:tabs>
        <w:ind w:firstLine="1960" w:firstLineChars="700"/>
        <w:jc w:val="left"/>
        <w:rPr>
          <w:rFonts w:hint="default" w:ascii="宋体" w:hAnsi="宋体" w:eastAsia="宋体" w:cs="宋体"/>
          <w:b w:val="0"/>
          <w:bCs/>
          <w:sz w:val="28"/>
          <w:szCs w:val="28"/>
          <w:u w:val="single"/>
          <w:lang w:val="en-US" w:eastAsia="zh-CN"/>
        </w:rPr>
      </w:pPr>
      <w:r>
        <w:rPr>
          <w:rFonts w:hint="eastAsia" w:ascii="宋体" w:hAnsi="宋体" w:eastAsia="宋体" w:cs="宋体"/>
          <w:b w:val="0"/>
          <w:bCs/>
          <w:sz w:val="28"/>
          <w:szCs w:val="28"/>
        </w:rPr>
        <w:t>指导教师</w:t>
      </w:r>
      <w:r>
        <w:rPr>
          <w:rFonts w:hint="eastAsia" w:ascii="宋体" w:hAnsi="宋体" w:cs="宋体"/>
          <w:b w:val="0"/>
          <w:bCs/>
          <w:sz w:val="28"/>
          <w:szCs w:val="28"/>
          <w:lang w:eastAsia="zh-CN"/>
        </w:rPr>
        <w:t>：</w:t>
      </w:r>
      <w:r>
        <w:rPr>
          <w:rFonts w:hint="eastAsia" w:ascii="宋体" w:hAnsi="宋体" w:eastAsia="宋体" w:cs="宋体"/>
          <w:b w:val="0"/>
          <w:bCs/>
          <w:sz w:val="28"/>
          <w:szCs w:val="28"/>
          <w:u w:val="single"/>
        </w:rPr>
        <w:t xml:space="preserve">          </w:t>
      </w:r>
      <w:r>
        <w:rPr>
          <w:rFonts w:hint="eastAsia" w:ascii="宋体" w:hAnsi="宋体" w:cs="宋体"/>
          <w:b w:val="0"/>
          <w:bCs/>
          <w:sz w:val="28"/>
          <w:szCs w:val="28"/>
          <w:u w:val="single"/>
          <w:lang w:val="en-US" w:eastAsia="zh-CN"/>
        </w:rPr>
        <w:t>李 四</w:t>
      </w:r>
      <w:r>
        <w:rPr>
          <w:rFonts w:hint="eastAsia" w:ascii="宋体" w:hAnsi="宋体" w:eastAsia="宋体" w:cs="宋体"/>
          <w:b w:val="0"/>
          <w:bCs/>
          <w:sz w:val="28"/>
          <w:szCs w:val="28"/>
          <w:u w:val="single"/>
        </w:rPr>
        <w:t xml:space="preserve">          </w:t>
      </w:r>
    </w:p>
    <w:p>
      <w:pPr>
        <w:spacing w:line="360" w:lineRule="auto"/>
        <w:jc w:val="center"/>
        <w:rPr>
          <w:rFonts w:ascii="宋体" w:hAnsi="宋体"/>
          <w:b w:val="0"/>
          <w:bCs/>
          <w:w w:val="90"/>
          <w:sz w:val="28"/>
          <w:szCs w:val="28"/>
        </w:rPr>
      </w:pPr>
    </w:p>
    <w:p>
      <w:pPr>
        <w:spacing w:line="360" w:lineRule="auto"/>
        <w:jc w:val="center"/>
        <w:rPr>
          <w:rFonts w:ascii="宋体" w:hAnsi="宋体"/>
          <w:w w:val="90"/>
          <w:sz w:val="28"/>
          <w:szCs w:val="28"/>
        </w:rPr>
      </w:pPr>
    </w:p>
    <w:p>
      <w:pPr>
        <w:spacing w:line="360" w:lineRule="auto"/>
        <w:jc w:val="center"/>
        <w:rPr>
          <w:rFonts w:ascii="楷体_GB2312" w:eastAsia="楷体_GB2312"/>
          <w:sz w:val="32"/>
        </w:rPr>
      </w:pPr>
      <w:r>
        <w:rPr>
          <w:rFonts w:hint="eastAsia" w:ascii="楷体_GB2312" w:eastAsia="楷体_GB2312"/>
          <w:sz w:val="32"/>
        </w:rPr>
        <w:t>山东财经大学教务处制</w:t>
      </w:r>
    </w:p>
    <w:p>
      <w:pPr>
        <w:spacing w:line="360" w:lineRule="auto"/>
        <w:jc w:val="center"/>
        <w:rPr>
          <w:rFonts w:ascii="楷体_GB2312" w:eastAsia="楷体_GB2312"/>
          <w:sz w:val="32"/>
        </w:rPr>
      </w:pPr>
      <w:r>
        <w:rPr>
          <w:rFonts w:hint="eastAsia" w:ascii="楷体_GB2312" w:eastAsia="楷体_GB2312"/>
          <w:sz w:val="32"/>
        </w:rPr>
        <w:t>二Ｏ二</w:t>
      </w:r>
      <w:r>
        <w:rPr>
          <w:rFonts w:hint="eastAsia" w:ascii="楷体_GB2312" w:eastAsia="楷体_GB2312"/>
          <w:sz w:val="32"/>
          <w:lang w:val="en-US" w:eastAsia="zh-CN"/>
        </w:rPr>
        <w:t>三</w:t>
      </w:r>
      <w:r>
        <w:rPr>
          <w:rFonts w:hint="eastAsia" w:ascii="楷体_GB2312" w:eastAsia="楷体_GB2312"/>
          <w:sz w:val="32"/>
        </w:rPr>
        <w:t>年</w:t>
      </w:r>
      <w:r>
        <w:rPr>
          <w:rFonts w:hint="eastAsia" w:ascii="楷体_GB2312" w:eastAsia="楷体_GB2312"/>
          <w:sz w:val="32"/>
          <w:lang w:val="en-US" w:eastAsia="zh-CN"/>
        </w:rPr>
        <w:t>七</w:t>
      </w:r>
      <w:r>
        <w:rPr>
          <w:rFonts w:hint="eastAsia" w:ascii="楷体_GB2312" w:eastAsia="楷体_GB2312"/>
          <w:sz w:val="32"/>
        </w:rPr>
        <w:t>月</w:t>
      </w:r>
    </w:p>
    <w:p>
      <w:pPr>
        <w:tabs>
          <w:tab w:val="left" w:pos="3360"/>
        </w:tabs>
        <w:rPr>
          <w:sz w:val="30"/>
        </w:rPr>
      </w:pPr>
    </w:p>
    <w:p>
      <w:pPr>
        <w:tabs>
          <w:tab w:val="left" w:pos="3360"/>
        </w:tabs>
        <w:jc w:val="center"/>
        <w:rPr>
          <w:rFonts w:ascii="黑体" w:eastAsia="黑体"/>
          <w:b/>
          <w:sz w:val="32"/>
          <w:szCs w:val="32"/>
        </w:rPr>
      </w:pPr>
      <w:r>
        <w:rPr>
          <w:rFonts w:hint="eastAsia" w:ascii="黑体" w:eastAsia="黑体"/>
          <w:b/>
          <w:sz w:val="32"/>
          <w:szCs w:val="32"/>
        </w:rPr>
        <w:t>论文原创性声明</w:t>
      </w:r>
    </w:p>
    <w:p>
      <w:pPr>
        <w:ind w:firstLine="570"/>
        <w:rPr>
          <w:rFonts w:eastAsia="仿宋_GB2312"/>
          <w:sz w:val="28"/>
        </w:rPr>
      </w:pPr>
      <w:r>
        <w:rPr>
          <w:rFonts w:hint="eastAsia" w:eastAsia="仿宋_GB2312"/>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pPr>
        <w:rPr>
          <w:rFonts w:eastAsia="仿宋_GB2312"/>
          <w:sz w:val="28"/>
        </w:rPr>
      </w:pPr>
    </w:p>
    <w:p>
      <w:pPr>
        <w:ind w:left="280" w:firstLine="2870" w:firstLineChars="1025"/>
        <w:rPr>
          <w:rFonts w:eastAsia="仿宋_GB2312"/>
          <w:sz w:val="28"/>
        </w:rPr>
      </w:pPr>
      <w:r>
        <w:rPr>
          <w:rFonts w:hint="eastAsia" w:eastAsia="仿宋_GB2312"/>
          <w:sz w:val="28"/>
        </w:rPr>
        <w:t>学位论文作者签名：</w:t>
      </w:r>
      <w:r>
        <w:rPr>
          <w:rFonts w:hint="eastAsia" w:eastAsia="仿宋_GB2312"/>
          <w:sz w:val="28"/>
          <w:u w:val="single"/>
        </w:rPr>
        <w:t xml:space="preserve">               </w:t>
      </w:r>
    </w:p>
    <w:p>
      <w:pPr>
        <w:ind w:firstLine="4830" w:firstLineChars="1725"/>
        <w:rPr>
          <w:rFonts w:eastAsia="仿宋_GB2312"/>
          <w:sz w:val="28"/>
        </w:rPr>
      </w:pP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pBdr>
          <w:bottom w:val="double" w:color="auto" w:sz="4" w:space="1"/>
        </w:pBdr>
        <w:rPr>
          <w:rFonts w:eastAsia="仿宋_GB2312"/>
          <w:sz w:val="28"/>
        </w:rPr>
      </w:pPr>
    </w:p>
    <w:p>
      <w:pPr>
        <w:spacing w:before="162" w:beforeLines="50" w:after="324" w:afterLines="100"/>
        <w:jc w:val="center"/>
        <w:rPr>
          <w:rFonts w:ascii="黑体" w:eastAsia="黑体"/>
          <w:b/>
          <w:sz w:val="32"/>
          <w:szCs w:val="32"/>
        </w:rPr>
      </w:pPr>
    </w:p>
    <w:p>
      <w:pPr>
        <w:spacing w:before="162" w:beforeLines="50" w:after="324" w:afterLines="100"/>
        <w:jc w:val="center"/>
        <w:rPr>
          <w:rFonts w:ascii="黑体" w:eastAsia="黑体"/>
          <w:b/>
          <w:sz w:val="32"/>
          <w:szCs w:val="32"/>
        </w:rPr>
      </w:pPr>
      <w:r>
        <w:rPr>
          <w:rFonts w:hint="eastAsia" w:ascii="黑体" w:eastAsia="黑体"/>
          <w:b/>
          <w:sz w:val="32"/>
          <w:szCs w:val="32"/>
        </w:rPr>
        <w:t>论文使用授权说明</w:t>
      </w:r>
    </w:p>
    <w:p>
      <w:pPr>
        <w:pStyle w:val="6"/>
        <w:rPr>
          <w:rFonts w:eastAsia="仿宋_GB2312"/>
        </w:rPr>
      </w:pPr>
      <w:r>
        <w:rPr>
          <w:rFonts w:hint="eastAsia" w:eastAsia="仿宋_GB2312"/>
          <w:color w:val="auto"/>
        </w:rPr>
        <w:t>本人完全了解山东财经大学有关保留、使用学位论文的规定，即：学校有权保留、送交论文的复印件，允许论文被查阅，学校</w:t>
      </w:r>
      <w:r>
        <w:rPr>
          <w:rFonts w:hint="eastAsia" w:eastAsia="仿宋_GB2312"/>
        </w:rPr>
        <w:t>可以公布论文的全部或部分内容，可以采用影印或其他复制手段保存论文。</w:t>
      </w:r>
    </w:p>
    <w:p>
      <w:pPr>
        <w:rPr>
          <w:rFonts w:eastAsia="黑体"/>
          <w:sz w:val="28"/>
        </w:rPr>
      </w:pPr>
    </w:p>
    <w:p>
      <w:pPr>
        <w:rPr>
          <w:rFonts w:eastAsia="仿宋_GB2312"/>
          <w:sz w:val="28"/>
          <w:u w:val="single"/>
        </w:rPr>
      </w:pPr>
      <w:r>
        <w:rPr>
          <w:rFonts w:hint="eastAsia" w:eastAsia="仿宋_GB2312"/>
          <w:sz w:val="28"/>
        </w:rPr>
        <w:t>指导教师签名：</w:t>
      </w:r>
      <w:r>
        <w:rPr>
          <w:rFonts w:hint="eastAsia" w:eastAsia="仿宋_GB2312"/>
          <w:sz w:val="28"/>
          <w:u w:val="single"/>
        </w:rPr>
        <w:t xml:space="preserve">            </w:t>
      </w:r>
      <w:r>
        <w:rPr>
          <w:rFonts w:hint="eastAsia" w:eastAsia="仿宋_GB2312"/>
          <w:sz w:val="28"/>
        </w:rPr>
        <w:t xml:space="preserve">        论文作者签名：</w:t>
      </w:r>
      <w:r>
        <w:rPr>
          <w:rFonts w:hint="eastAsia" w:eastAsia="仿宋_GB2312"/>
          <w:sz w:val="28"/>
          <w:u w:val="single"/>
        </w:rPr>
        <w:t xml:space="preserve">               </w:t>
      </w:r>
    </w:p>
    <w:p>
      <w:pPr>
        <w:ind w:firstLine="560" w:firstLineChars="200"/>
        <w:rPr>
          <w:rFonts w:eastAsia="仿宋_GB2312"/>
          <w:sz w:val="28"/>
          <w:u w:val="single"/>
        </w:rPr>
      </w:pP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 xml:space="preserve">日 </w:t>
      </w:r>
      <w:r>
        <w:rPr>
          <w:rFonts w:eastAsia="仿宋_GB2312"/>
          <w:sz w:val="28"/>
        </w:rPr>
        <w:t xml:space="preserve">              </w:t>
      </w:r>
      <w:r>
        <w:rPr>
          <w:rFonts w:hint="eastAsia" w:eastAsia="仿宋_GB2312"/>
          <w:sz w:val="28"/>
        </w:rPr>
        <w:t xml:space="preserve">     </w:t>
      </w:r>
      <w:r>
        <w:rPr>
          <w:rFonts w:hint="eastAsia" w:eastAsia="仿宋_GB2312"/>
          <w:sz w:val="28"/>
          <w:u w:val="single"/>
        </w:rPr>
        <w:t xml:space="preserve">     </w:t>
      </w:r>
      <w:r>
        <w:rPr>
          <w:rFonts w:hint="eastAsia" w:eastAsia="仿宋_GB2312"/>
          <w:sz w:val="28"/>
        </w:rPr>
        <w:t>年</w:t>
      </w:r>
      <w:r>
        <w:rPr>
          <w:rFonts w:hint="eastAsia" w:eastAsia="仿宋_GB2312"/>
          <w:sz w:val="28"/>
          <w:u w:val="single"/>
        </w:rPr>
        <w:t xml:space="preserve">     </w:t>
      </w:r>
      <w:r>
        <w:rPr>
          <w:rFonts w:hint="eastAsia" w:eastAsia="仿宋_GB2312"/>
          <w:sz w:val="28"/>
        </w:rPr>
        <w:t>月</w:t>
      </w:r>
      <w:r>
        <w:rPr>
          <w:rFonts w:hint="eastAsia" w:eastAsia="仿宋_GB2312"/>
          <w:sz w:val="28"/>
          <w:u w:val="single"/>
        </w:rPr>
        <w:t xml:space="preserve">     </w:t>
      </w:r>
      <w:r>
        <w:rPr>
          <w:rFonts w:hint="eastAsia" w:eastAsia="仿宋_GB2312"/>
          <w:sz w:val="28"/>
        </w:rPr>
        <w:t>日</w:t>
      </w:r>
    </w:p>
    <w:p>
      <w:pPr>
        <w:rPr>
          <w:rFonts w:eastAsia="仿宋_GB2312"/>
          <w:sz w:val="28"/>
          <w:u w:val="single"/>
        </w:rPr>
      </w:pPr>
    </w:p>
    <w:p>
      <w:pPr>
        <w:spacing w:before="162" w:beforeLines="50" w:after="162" w:afterLines="50"/>
        <w:jc w:val="center"/>
        <w:rPr>
          <w:rFonts w:ascii="黑体" w:eastAsia="黑体"/>
          <w:color w:val="000000"/>
          <w:sz w:val="32"/>
          <w:szCs w:val="32"/>
        </w:rPr>
      </w:pPr>
    </w:p>
    <w:p>
      <w:pPr>
        <w:spacing w:before="162" w:beforeLines="50" w:after="162" w:afterLines="50"/>
        <w:jc w:val="center"/>
        <w:rPr>
          <w:rFonts w:eastAsia="黑体"/>
          <w:sz w:val="32"/>
          <w:szCs w:val="32"/>
          <w:shd w:val="pct10" w:color="auto" w:fill="FFFFFF"/>
        </w:rPr>
      </w:pPr>
    </w:p>
    <w:p>
      <w:pPr>
        <w:spacing w:before="162" w:beforeLines="50" w:after="162" w:afterLines="50"/>
        <w:jc w:val="center"/>
        <w:rPr>
          <w:rFonts w:eastAsia="黑体"/>
          <w:sz w:val="32"/>
          <w:szCs w:val="32"/>
          <w:shd w:val="pct10" w:color="auto" w:fill="FFFFFF"/>
        </w:rPr>
        <w:sectPr>
          <w:headerReference r:id="rId3" w:type="even"/>
          <w:footerReference r:id="rId4" w:type="even"/>
          <w:pgSz w:w="11906" w:h="16838"/>
          <w:pgMar w:top="1417" w:right="1134" w:bottom="1134" w:left="1418" w:header="851" w:footer="992" w:gutter="0"/>
          <w:pgNumType w:start="1"/>
          <w:cols w:space="425" w:num="1"/>
          <w:titlePg/>
          <w:docGrid w:type="lines" w:linePitch="324" w:charSpace="0"/>
        </w:sectPr>
      </w:pPr>
    </w:p>
    <w:p>
      <w:pPr>
        <w:spacing w:before="162" w:beforeLines="50" w:after="162" w:afterLines="50"/>
        <w:outlineLvl w:val="1"/>
        <w:rPr>
          <w:rFonts w:ascii="Arial Narrow" w:hAnsi="Arial Narrow"/>
          <w:sz w:val="24"/>
        </w:rPr>
      </w:pPr>
    </w:p>
    <w:p>
      <w:pPr>
        <w:tabs>
          <w:tab w:val="left" w:pos="7560"/>
        </w:tabs>
        <w:jc w:val="center"/>
        <w:rPr>
          <w:rFonts w:ascii="黑体" w:hAnsi="黑体" w:eastAsia="黑体"/>
          <w:b w:val="0"/>
          <w:bCs w:val="0"/>
          <w:sz w:val="32"/>
          <w:szCs w:val="32"/>
          <w:u w:val="none"/>
        </w:rPr>
      </w:pPr>
      <w:r>
        <w:rPr>
          <w:rFonts w:hint="eastAsia" w:ascii="黑体" w:hAnsi="黑体" w:eastAsia="黑体"/>
          <w:b w:val="0"/>
          <w:bCs w:val="0"/>
          <w:sz w:val="32"/>
          <w:szCs w:val="32"/>
          <w:u w:val="none"/>
        </w:rPr>
        <w:t>延迟退休对城镇职工养老金替代率的影响</w:t>
      </w:r>
    </w:p>
    <w:p>
      <w:pPr>
        <w:tabs>
          <w:tab w:val="left" w:pos="7560"/>
        </w:tabs>
        <w:jc w:val="center"/>
        <w:rPr>
          <w:rFonts w:hint="eastAsia" w:ascii="黑体" w:hAnsi="黑体" w:eastAsia="黑体"/>
          <w:sz w:val="32"/>
          <w:szCs w:val="32"/>
          <w:highlight w:val="yellow"/>
          <w:lang w:val="en-US" w:eastAsia="zh-CN"/>
        </w:rPr>
      </w:pPr>
      <w:r>
        <w:rPr>
          <w:rFonts w:hint="eastAsia" w:ascii="黑体" w:hAnsi="黑体" w:eastAsia="黑体"/>
          <w:b w:val="0"/>
          <w:bCs w:val="0"/>
          <w:sz w:val="32"/>
          <w:szCs w:val="32"/>
          <w:u w:val="none"/>
        </w:rPr>
        <w:t>——以山东省为例</w:t>
      </w:r>
      <w:r>
        <w:rPr>
          <w:rFonts w:hint="eastAsia" w:ascii="黑体" w:hAnsi="黑体" w:eastAsia="黑体"/>
          <w:color w:val="FF0000"/>
          <w:sz w:val="32"/>
          <w:szCs w:val="32"/>
        </w:rPr>
        <w:t>(三号</w:t>
      </w:r>
      <w:r>
        <w:rPr>
          <w:rFonts w:hint="eastAsia" w:ascii="黑体" w:hAnsi="黑体" w:eastAsia="黑体"/>
          <w:color w:val="FF0000"/>
          <w:sz w:val="32"/>
          <w:szCs w:val="32"/>
          <w:lang w:eastAsia="zh-CN"/>
        </w:rPr>
        <w:t>，</w:t>
      </w:r>
      <w:r>
        <w:rPr>
          <w:rFonts w:hint="eastAsia" w:ascii="黑体" w:hAnsi="黑体" w:eastAsia="黑体"/>
          <w:color w:val="FF0000"/>
          <w:sz w:val="32"/>
          <w:szCs w:val="32"/>
        </w:rPr>
        <w:t>黑体</w:t>
      </w:r>
      <w:r>
        <w:rPr>
          <w:rFonts w:hint="eastAsia" w:ascii="黑体" w:hAnsi="黑体" w:eastAsia="黑体"/>
          <w:color w:val="FF0000"/>
          <w:sz w:val="32"/>
          <w:szCs w:val="32"/>
          <w:lang w:eastAsia="zh-CN"/>
        </w:rPr>
        <w:t>）</w:t>
      </w:r>
    </w:p>
    <w:p>
      <w:pPr>
        <w:spacing w:before="162" w:beforeLines="50" w:after="162" w:afterLines="50"/>
        <w:jc w:val="center"/>
        <w:rPr>
          <w:rFonts w:ascii="黑体" w:hAnsi="黑体" w:eastAsia="黑体"/>
          <w:sz w:val="32"/>
          <w:szCs w:val="32"/>
        </w:rPr>
      </w:pPr>
      <w:r>
        <w:rPr>
          <w:rFonts w:hint="eastAsia" w:ascii="黑体" w:hAnsi="黑体" w:eastAsia="黑体"/>
          <w:sz w:val="32"/>
          <w:szCs w:val="32"/>
        </w:rPr>
        <w:t>摘  要</w:t>
      </w:r>
      <w:r>
        <w:rPr>
          <w:rFonts w:hint="eastAsia" w:ascii="黑体" w:hAnsi="黑体" w:eastAsia="黑体"/>
          <w:color w:val="FF0000"/>
          <w:sz w:val="32"/>
          <w:szCs w:val="32"/>
        </w:rPr>
        <w:t>(三号</w:t>
      </w:r>
      <w:r>
        <w:rPr>
          <w:rFonts w:hint="eastAsia" w:ascii="黑体" w:hAnsi="黑体" w:eastAsia="黑体"/>
          <w:color w:val="FF0000"/>
          <w:sz w:val="32"/>
          <w:szCs w:val="32"/>
          <w:lang w:eastAsia="zh-CN"/>
        </w:rPr>
        <w:t>，</w:t>
      </w:r>
      <w:r>
        <w:rPr>
          <w:rFonts w:hint="eastAsia" w:ascii="黑体" w:hAnsi="黑体" w:eastAsia="黑体"/>
          <w:color w:val="FF0000"/>
          <w:sz w:val="32"/>
          <w:szCs w:val="32"/>
        </w:rPr>
        <w:t>黑体)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olor w:val="FF0000"/>
          <w:sz w:val="24"/>
        </w:rPr>
      </w:pPr>
      <w:r>
        <w:rPr>
          <w:rFonts w:hint="eastAsia" w:ascii="宋体" w:hAnsi="宋体"/>
          <w:sz w:val="24"/>
        </w:rPr>
        <w:t>本文通过养老金替代率为衡量标尺，运用基本养老保险精算模型分析了延迟退休政策对山东省2018年城镇职工基本养老保险替代率的影响。根据统计数据可知现行退休政策下，由于社会人口结构老龄化，山东省制度赡养率逐年上升，需要通过延迟退休年龄、增加缴费年限来调整社会养老保障系统，使之保持精算平衡。测算结果表明延迟退休对养老金替代率有积极作用；同时，随着人口预期寿命延长，实际的计发月数增加将会导致养老金替代率下降。</w:t>
      </w:r>
      <w:r>
        <w:rPr>
          <w:rFonts w:hint="eastAsia" w:ascii="宋体" w:hAnsi="宋体"/>
          <w:color w:val="FF0000"/>
          <w:sz w:val="24"/>
        </w:rPr>
        <w:t>(小四</w:t>
      </w:r>
      <w:r>
        <w:rPr>
          <w:rFonts w:hint="eastAsia" w:ascii="宋体" w:hAnsi="宋体"/>
          <w:color w:val="FF0000"/>
          <w:sz w:val="24"/>
          <w:lang w:eastAsia="zh-CN"/>
        </w:rPr>
        <w:t>，</w:t>
      </w:r>
      <w:r>
        <w:rPr>
          <w:rFonts w:hint="eastAsia" w:ascii="宋体" w:hAnsi="宋体"/>
          <w:color w:val="FF0000"/>
          <w:sz w:val="24"/>
        </w:rPr>
        <w:t>宋体</w:t>
      </w:r>
      <w:r>
        <w:rPr>
          <w:rFonts w:hint="eastAsia" w:ascii="宋体" w:hAnsi="宋体"/>
          <w:color w:val="FF0000"/>
          <w:sz w:val="24"/>
          <w:lang w:eastAsia="zh-CN"/>
        </w:rPr>
        <w:t>，</w:t>
      </w:r>
      <w:r>
        <w:rPr>
          <w:rFonts w:hint="eastAsia" w:ascii="宋体" w:hAnsi="宋体"/>
          <w:color w:val="FF0000"/>
          <w:sz w:val="24"/>
        </w:rPr>
        <w:t>1.5倍</w:t>
      </w:r>
      <w:r>
        <w:rPr>
          <w:rFonts w:ascii="宋体" w:hAnsi="宋体"/>
          <w:color w:val="FF0000"/>
          <w:sz w:val="24"/>
        </w:rPr>
        <w:t>行距</w:t>
      </w:r>
      <w:r>
        <w:rPr>
          <w:rFonts w:hint="eastAsia" w:ascii="宋体" w:hAnsi="宋体"/>
          <w:color w:val="FF0000"/>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olor w:val="FF0000"/>
          <w:sz w:val="24"/>
        </w:rPr>
      </w:pPr>
    </w:p>
    <w:p>
      <w:pPr>
        <w:spacing w:before="162" w:beforeLines="50" w:after="162" w:afterLines="50" w:line="400" w:lineRule="exact"/>
        <w:ind w:firstLine="480" w:firstLineChars="200"/>
        <w:rPr>
          <w:rFonts w:hint="eastAsia" w:eastAsia="宋体"/>
          <w:sz w:val="24"/>
          <w:lang w:eastAsia="zh-CN"/>
        </w:rPr>
      </w:pPr>
      <w:r>
        <w:rPr>
          <w:rFonts w:hint="eastAsia"/>
          <w:b/>
          <w:sz w:val="24"/>
        </w:rPr>
        <w:t>关键词</w:t>
      </w:r>
      <w:r>
        <w:rPr>
          <w:rFonts w:hint="eastAsia" w:ascii="宋体" w:hAnsi="宋体"/>
          <w:sz w:val="24"/>
        </w:rPr>
        <w:t>：</w:t>
      </w:r>
      <w:r>
        <w:rPr>
          <w:rFonts w:hint="eastAsia"/>
          <w:sz w:val="24"/>
        </w:rPr>
        <w:t>养老金替代率；老龄化；延迟退休；山东省养老保险</w:t>
      </w:r>
      <w:r>
        <w:rPr>
          <w:rFonts w:hint="eastAsia" w:ascii="宋体" w:hAnsi="宋体"/>
          <w:color w:val="FF0000"/>
          <w:sz w:val="24"/>
        </w:rPr>
        <w:t>(小四</w:t>
      </w:r>
      <w:r>
        <w:rPr>
          <w:rFonts w:hint="eastAsia" w:ascii="宋体" w:hAnsi="宋体"/>
          <w:color w:val="FF0000"/>
          <w:sz w:val="24"/>
          <w:lang w:eastAsia="zh-CN"/>
        </w:rPr>
        <w:t>，</w:t>
      </w:r>
      <w:r>
        <w:rPr>
          <w:rFonts w:hint="eastAsia" w:ascii="宋体" w:hAnsi="宋体"/>
          <w:color w:val="FF0000"/>
          <w:sz w:val="24"/>
        </w:rPr>
        <w:t>宋体</w:t>
      </w:r>
      <w:r>
        <w:rPr>
          <w:rFonts w:hint="eastAsia" w:ascii="宋体" w:hAnsi="宋体"/>
          <w:color w:val="FF0000"/>
          <w:sz w:val="24"/>
          <w:lang w:eastAsia="zh-CN"/>
        </w:rPr>
        <w:t>）</w:t>
      </w: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ind w:firstLine="480" w:firstLineChars="200"/>
        <w:rPr>
          <w:sz w:val="24"/>
        </w:rPr>
      </w:pPr>
    </w:p>
    <w:p>
      <w:pPr>
        <w:spacing w:before="162" w:beforeLines="50" w:after="162" w:afterLines="50" w:line="400" w:lineRule="exact"/>
        <w:rPr>
          <w:sz w:val="24"/>
        </w:rPr>
      </w:pPr>
    </w:p>
    <w:p>
      <w:pPr>
        <w:widowControl/>
        <w:snapToGrid w:val="0"/>
        <w:spacing w:before="162" w:beforeLines="50" w:after="162" w:afterLines="50"/>
        <w:jc w:val="center"/>
        <w:rPr>
          <w:sz w:val="32"/>
          <w:szCs w:val="32"/>
        </w:rPr>
      </w:pPr>
      <w:r>
        <w:rPr>
          <w:sz w:val="32"/>
          <w:szCs w:val="32"/>
        </w:rPr>
        <w:t xml:space="preserve">The Effects on Pension Replacement Rate Caused by Delayed Retirement of Urban Employees </w:t>
      </w:r>
      <w:r>
        <w:rPr>
          <w:color w:val="FF0000"/>
          <w:sz w:val="32"/>
          <w:szCs w:val="32"/>
        </w:rPr>
        <w:t>（三号</w:t>
      </w:r>
      <w:r>
        <w:rPr>
          <w:rFonts w:hint="eastAsia"/>
          <w:color w:val="FF0000"/>
          <w:sz w:val="32"/>
          <w:szCs w:val="32"/>
          <w:lang w:eastAsia="zh-CN"/>
        </w:rPr>
        <w:t>，</w:t>
      </w:r>
      <w:r>
        <w:rPr>
          <w:color w:val="FF0000"/>
          <w:sz w:val="32"/>
          <w:szCs w:val="32"/>
        </w:rPr>
        <w:t>times new roman</w:t>
      </w:r>
      <w:r>
        <w:rPr>
          <w:rFonts w:hint="eastAsia"/>
          <w:color w:val="FF0000"/>
          <w:sz w:val="32"/>
          <w:szCs w:val="32"/>
        </w:rPr>
        <w:t>字体</w:t>
      </w:r>
      <w:r>
        <w:rPr>
          <w:color w:val="FF0000"/>
          <w:sz w:val="32"/>
          <w:szCs w:val="32"/>
        </w:rPr>
        <w:t>）</w:t>
      </w:r>
    </w:p>
    <w:p>
      <w:pPr>
        <w:widowControl/>
        <w:snapToGrid w:val="0"/>
        <w:spacing w:before="162" w:beforeLines="50" w:after="162" w:afterLines="50"/>
        <w:jc w:val="center"/>
        <w:rPr>
          <w:rFonts w:eastAsia="Arial Unicode MS"/>
          <w:kern w:val="0"/>
          <w:sz w:val="32"/>
          <w:szCs w:val="32"/>
          <w:lang w:val="en"/>
        </w:rPr>
      </w:pPr>
      <w:r>
        <w:rPr>
          <w:sz w:val="32"/>
          <w:szCs w:val="32"/>
        </w:rPr>
        <w:t>——Take Shandong Province as an Example</w:t>
      </w:r>
      <w:bookmarkStart w:id="1" w:name="_Toc322713620"/>
      <w:bookmarkStart w:id="2" w:name="_Toc323033597"/>
      <w:bookmarkStart w:id="3" w:name="_Toc322714388"/>
      <w:bookmarkStart w:id="4" w:name="_Toc323034521"/>
      <w:bookmarkStart w:id="5" w:name="_Toc130716631"/>
      <w:bookmarkStart w:id="6" w:name="_Toc291683581"/>
      <w:bookmarkStart w:id="7" w:name="_Toc130717783"/>
    </w:p>
    <w:p>
      <w:pPr>
        <w:keepNext w:val="0"/>
        <w:keepLines w:val="0"/>
        <w:pageBreakBefore w:val="0"/>
        <w:widowControl/>
        <w:kinsoku/>
        <w:wordWrap/>
        <w:overflowPunct/>
        <w:topLinePunct w:val="0"/>
        <w:autoSpaceDE/>
        <w:autoSpaceDN/>
        <w:bidi w:val="0"/>
        <w:adjustRightInd/>
        <w:snapToGrid w:val="0"/>
        <w:spacing w:before="162" w:beforeLines="50" w:after="162" w:afterLines="50" w:line="240" w:lineRule="auto"/>
        <w:jc w:val="center"/>
        <w:textAlignment w:val="auto"/>
        <w:rPr>
          <w:rFonts w:eastAsia="Arial Unicode MS"/>
          <w:kern w:val="0"/>
          <w:sz w:val="32"/>
          <w:szCs w:val="32"/>
          <w:lang w:val="en"/>
        </w:rPr>
      </w:pPr>
      <w:r>
        <w:rPr>
          <w:rFonts w:eastAsia="Arial Unicode MS"/>
          <w:kern w:val="0"/>
          <w:sz w:val="32"/>
          <w:szCs w:val="32"/>
          <w:lang w:val="en"/>
        </w:rPr>
        <w:t>ABSTRACT</w:t>
      </w:r>
      <w:bookmarkEnd w:id="1"/>
      <w:bookmarkEnd w:id="2"/>
      <w:bookmarkEnd w:id="3"/>
      <w:bookmarkEnd w:id="4"/>
      <w:bookmarkEnd w:id="5"/>
      <w:bookmarkEnd w:id="6"/>
      <w:bookmarkEnd w:id="7"/>
      <w:r>
        <w:rPr>
          <w:color w:val="FF0000"/>
          <w:sz w:val="32"/>
          <w:szCs w:val="32"/>
        </w:rPr>
        <w:t>（三号</w:t>
      </w:r>
      <w:r>
        <w:rPr>
          <w:rFonts w:hint="eastAsia"/>
          <w:color w:val="FF0000"/>
          <w:sz w:val="32"/>
          <w:szCs w:val="32"/>
          <w:lang w:eastAsia="zh-CN"/>
        </w:rPr>
        <w:t>，</w:t>
      </w:r>
      <w:r>
        <w:rPr>
          <w:color w:val="FF0000"/>
          <w:sz w:val="32"/>
          <w:szCs w:val="32"/>
        </w:rPr>
        <w:t>times new roman</w:t>
      </w:r>
      <w:r>
        <w:rPr>
          <w:rFonts w:hint="eastAsia"/>
          <w:color w:val="FF0000"/>
          <w:sz w:val="32"/>
          <w:szCs w:val="32"/>
        </w:rPr>
        <w:t>字体</w:t>
      </w:r>
      <w:r>
        <w:rPr>
          <w:color w:val="FF000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eastAsia="黑体"/>
          <w:sz w:val="24"/>
        </w:rPr>
      </w:pPr>
      <w:r>
        <w:rPr>
          <w:rFonts w:eastAsia="黑体"/>
          <w:sz w:val="24"/>
        </w:rPr>
        <w:t>To analyze how delayed retirement policy will act on the pension insurance of urban workers, statistics of Shandong Province in 2018 are collected to run in specific actuarial model and turn out as the form of replacement rate. According to the statistical data, under the current retirement policy, due to the aging of the social population structure, the rate of system maintenance in Shandong Province is increasing year by year. It is necessary to adjust the social old-age insurance system by delaying the retirement age and extending the payment period, so as to maintain the actuarial balance. The results show that delayed retirement has a positive effect on the replacement rate of pension; at the same time, with the extension of the life expectancy of the population, the increase of the actual number of months will lead to the decrease of the replacement rate of pension.</w:t>
      </w:r>
      <w:r>
        <w:rPr>
          <w:rFonts w:hint="eastAsia" w:eastAsia="黑体"/>
          <w:sz w:val="24"/>
        </w:rPr>
        <w:t xml:space="preserve"> </w:t>
      </w:r>
      <w:r>
        <w:rPr>
          <w:rFonts w:eastAsia="黑体"/>
          <w:color w:val="FF0000"/>
          <w:sz w:val="24"/>
        </w:rPr>
        <w:t>（</w:t>
      </w:r>
      <w:r>
        <w:rPr>
          <w:rFonts w:hint="eastAsia" w:eastAsia="黑体"/>
          <w:color w:val="FF0000"/>
          <w:sz w:val="24"/>
        </w:rPr>
        <w:t>小四</w:t>
      </w:r>
      <w:r>
        <w:rPr>
          <w:rFonts w:eastAsia="黑体"/>
          <w:color w:val="FF0000"/>
          <w:sz w:val="24"/>
        </w:rPr>
        <w:t>times new roman</w:t>
      </w:r>
      <w:r>
        <w:rPr>
          <w:rFonts w:hint="eastAsia" w:eastAsia="黑体"/>
          <w:color w:val="FF0000"/>
          <w:sz w:val="24"/>
        </w:rPr>
        <w:t>字体</w:t>
      </w:r>
      <w:r>
        <w:rPr>
          <w:rFonts w:eastAsia="黑体"/>
          <w:color w:val="FF0000"/>
          <w:sz w:val="24"/>
        </w:rPr>
        <w:t>，单倍行距）</w:t>
      </w:r>
    </w:p>
    <w:p>
      <w:pPr>
        <w:ind w:firstLine="480" w:firstLineChars="200"/>
        <w:rPr>
          <w:rFonts w:eastAsia="黑体"/>
          <w:b/>
          <w:color w:val="000000"/>
          <w:sz w:val="24"/>
        </w:rPr>
      </w:pPr>
    </w:p>
    <w:p>
      <w:pPr>
        <w:ind w:firstLine="480" w:firstLineChars="200"/>
        <w:rPr>
          <w:rFonts w:hint="eastAsia" w:eastAsia="黑体"/>
          <w:color w:val="FF0000"/>
          <w:sz w:val="24"/>
        </w:rPr>
      </w:pPr>
      <w:r>
        <w:rPr>
          <w:rFonts w:eastAsia="黑体"/>
          <w:b/>
          <w:color w:val="000000"/>
          <w:sz w:val="24"/>
        </w:rPr>
        <w:t xml:space="preserve">Keywords: </w:t>
      </w:r>
      <w:r>
        <w:rPr>
          <w:rFonts w:eastAsia="黑体"/>
          <w:color w:val="000000"/>
          <w:sz w:val="24"/>
        </w:rPr>
        <w:t>Replacement rate of pension; Aging; Delayed retirement policy; Pension plans of Shandong Province</w:t>
      </w:r>
      <w:r>
        <w:rPr>
          <w:rFonts w:hint="eastAsia" w:eastAsia="黑体"/>
          <w:color w:val="000000"/>
          <w:sz w:val="24"/>
        </w:rPr>
        <w:t xml:space="preserve"> </w:t>
      </w:r>
      <w:r>
        <w:rPr>
          <w:rFonts w:hint="eastAsia" w:eastAsia="黑体"/>
          <w:color w:val="FF0000"/>
          <w:sz w:val="24"/>
        </w:rPr>
        <w:t>（小四</w:t>
      </w:r>
      <w:r>
        <w:rPr>
          <w:rFonts w:hint="eastAsia" w:eastAsia="黑体"/>
          <w:color w:val="FF0000"/>
          <w:sz w:val="24"/>
          <w:lang w:eastAsia="zh-CN"/>
        </w:rPr>
        <w:t>，</w:t>
      </w:r>
      <w:r>
        <w:rPr>
          <w:rFonts w:hint="eastAsia" w:eastAsia="黑体"/>
          <w:color w:val="FF0000"/>
          <w:sz w:val="24"/>
        </w:rPr>
        <w:t>times new roman字体）</w:t>
      </w:r>
    </w:p>
    <w:p>
      <w:pPr>
        <w:rPr>
          <w:rFonts w:ascii="Arial Narrow" w:hAnsi="Arial Narrow"/>
          <w:sz w:val="24"/>
        </w:rPr>
      </w:pPr>
    </w:p>
    <w:p>
      <w:pPr>
        <w:rPr>
          <w:rFonts w:ascii="Arial Narrow" w:hAnsi="Arial Narrow"/>
          <w:sz w:val="24"/>
        </w:rPr>
      </w:pPr>
    </w:p>
    <w:p>
      <w:pPr>
        <w:rPr>
          <w:rFonts w:ascii="Arial Narrow" w:hAnsi="Arial Narrow"/>
          <w:sz w:val="24"/>
        </w:rPr>
      </w:pPr>
    </w:p>
    <w:p>
      <w:pPr>
        <w:rPr>
          <w:rFonts w:ascii="Arial Narrow" w:hAnsi="Arial Narrow"/>
          <w:sz w:val="24"/>
        </w:rPr>
      </w:pPr>
    </w:p>
    <w:p>
      <w:pPr>
        <w:rPr>
          <w:rFonts w:ascii="Arial Narrow" w:hAnsi="Arial Narrow"/>
          <w:sz w:val="24"/>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rPr>
          <w:rFonts w:hint="eastAsia" w:ascii="Arial Narrow" w:hAnsi="Arial Narrow"/>
          <w:sz w:val="24"/>
          <w:lang w:eastAsia="zh-CN"/>
        </w:rPr>
      </w:pPr>
    </w:p>
    <w:p>
      <w:pPr>
        <w:keepNext w:val="0"/>
        <w:keepLines w:val="0"/>
        <w:pageBreakBefore w:val="0"/>
        <w:widowControl w:val="0"/>
        <w:kinsoku/>
        <w:wordWrap/>
        <w:overflowPunct/>
        <w:topLinePunct w:val="0"/>
        <w:autoSpaceDE/>
        <w:autoSpaceDN/>
        <w:bidi w:val="0"/>
        <w:adjustRightInd/>
        <w:snapToGrid/>
        <w:spacing w:before="800" w:after="400" w:line="400" w:lineRule="exact"/>
        <w:jc w:val="center"/>
        <w:textAlignment w:val="auto"/>
        <w:rPr>
          <w:rFonts w:hint="eastAsia" w:ascii="黑体" w:eastAsia="黑体"/>
          <w:b/>
          <w:bCs/>
          <w:sz w:val="36"/>
          <w:szCs w:val="36"/>
        </w:rPr>
        <w:sectPr>
          <w:headerReference r:id="rId5" w:type="default"/>
          <w:footerReference r:id="rId7" w:type="default"/>
          <w:headerReference r:id="rId6" w:type="even"/>
          <w:pgSz w:w="11906" w:h="16838"/>
          <w:pgMar w:top="1418" w:right="1134" w:bottom="1134" w:left="1418" w:header="851" w:footer="992" w:gutter="0"/>
          <w:pgNumType w:start="1"/>
          <w:cols w:space="425" w:num="1"/>
          <w:docGrid w:type="linesAndChars" w:linePitch="324" w:charSpace="0"/>
        </w:sectPr>
      </w:pPr>
    </w:p>
    <w:p>
      <w:pPr>
        <w:keepNext w:val="0"/>
        <w:keepLines w:val="0"/>
        <w:pageBreakBefore w:val="0"/>
        <w:widowControl w:val="0"/>
        <w:kinsoku/>
        <w:wordWrap/>
        <w:overflowPunct/>
        <w:topLinePunct w:val="0"/>
        <w:autoSpaceDE/>
        <w:autoSpaceDN/>
        <w:bidi w:val="0"/>
        <w:adjustRightInd/>
        <w:snapToGrid/>
        <w:spacing w:before="800" w:after="400" w:line="400" w:lineRule="exact"/>
        <w:jc w:val="center"/>
        <w:textAlignment w:val="auto"/>
        <w:rPr>
          <w:rFonts w:ascii="黑体" w:hAnsi="黑体" w:eastAsia="黑体"/>
          <w:b/>
          <w:bCs/>
          <w:sz w:val="36"/>
          <w:szCs w:val="36"/>
        </w:rPr>
      </w:pPr>
      <w:r>
        <w:rPr>
          <w:rFonts w:hint="eastAsia" w:ascii="黑体" w:eastAsia="黑体"/>
          <w:b/>
          <w:bCs/>
          <w:sz w:val="36"/>
          <w:szCs w:val="36"/>
        </w:rPr>
        <w:t>目  录</w:t>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textAlignment w:val="auto"/>
        <w:rPr>
          <w:rFonts w:ascii="黑体" w:hAnsi="黑体" w:eastAsia="黑体"/>
          <w:color w:val="auto"/>
          <w:sz w:val="24"/>
          <w:szCs w:val="24"/>
        </w:rPr>
      </w:pPr>
      <w:r>
        <w:rPr>
          <w:rFonts w:hint="eastAsia" w:ascii="黑体" w:eastAsia="黑体"/>
          <w:color w:val="auto"/>
          <w:sz w:val="24"/>
          <w:szCs w:val="24"/>
        </w:rPr>
        <w:fldChar w:fldCharType="begin"/>
      </w:r>
      <w:r>
        <w:rPr>
          <w:rFonts w:hint="eastAsia" w:ascii="黑体" w:eastAsia="黑体"/>
          <w:color w:val="auto"/>
          <w:sz w:val="24"/>
          <w:szCs w:val="24"/>
        </w:rPr>
        <w:instrText xml:space="preserve"> TOC \o "1-3" \h \z \u </w:instrText>
      </w:r>
      <w:r>
        <w:rPr>
          <w:rFonts w:hint="eastAsia" w:ascii="黑体" w:eastAsia="黑体"/>
          <w:color w:val="auto"/>
          <w:sz w:val="24"/>
          <w:szCs w:val="24"/>
        </w:rPr>
        <w:fldChar w:fldCharType="separate"/>
      </w:r>
      <w:r>
        <w:rPr>
          <w:rFonts w:hint="eastAsia" w:ascii="黑体" w:hAnsi="黑体" w:eastAsia="黑体" w:cs="黑体"/>
          <w:color w:val="auto"/>
          <w:sz w:val="24"/>
          <w:szCs w:val="24"/>
        </w:rPr>
        <w:fldChar w:fldCharType="begin"/>
      </w:r>
      <w:r>
        <w:rPr>
          <w:rFonts w:hint="eastAsia" w:ascii="黑体" w:hAnsi="黑体" w:eastAsia="黑体" w:cs="黑体"/>
          <w:color w:val="auto"/>
          <w:sz w:val="24"/>
          <w:szCs w:val="24"/>
        </w:rPr>
        <w:instrText xml:space="preserve"> HYPERLINK \l "_Toc68789966" </w:instrText>
      </w:r>
      <w:r>
        <w:rPr>
          <w:rFonts w:hint="eastAsia" w:ascii="黑体" w:hAnsi="黑体" w:eastAsia="黑体" w:cs="黑体"/>
          <w:color w:val="auto"/>
          <w:sz w:val="24"/>
          <w:szCs w:val="24"/>
        </w:rPr>
        <w:fldChar w:fldCharType="separate"/>
      </w:r>
      <w:r>
        <w:rPr>
          <w:rFonts w:hint="eastAsia" w:ascii="黑体" w:hAnsi="黑体" w:eastAsia="黑体" w:cs="黑体"/>
          <w:color w:val="auto"/>
          <w:sz w:val="24"/>
          <w:szCs w:val="24"/>
          <w:lang w:val="en-US" w:eastAsia="zh-CN"/>
        </w:rPr>
        <w:t xml:space="preserve">第1章 </w:t>
      </w:r>
      <w:r>
        <w:rPr>
          <w:rFonts w:hint="eastAsia" w:ascii="黑体" w:hAnsi="黑体" w:eastAsia="黑体" w:cs="黑体"/>
          <w:color w:val="auto"/>
          <w:sz w:val="24"/>
          <w:szCs w:val="24"/>
        </w:rPr>
        <w:t>选题背景及研究意义</w:t>
      </w:r>
      <w:r>
        <w:rPr>
          <w:rFonts w:hint="eastAsia" w:ascii="黑体" w:hAnsi="黑体" w:eastAsia="黑体" w:cs="黑体"/>
          <w:color w:val="auto"/>
          <w:sz w:val="24"/>
          <w:szCs w:val="24"/>
        </w:rPr>
        <w:tab/>
      </w:r>
      <w:r>
        <w:rPr>
          <w:rFonts w:hint="eastAsia" w:ascii="黑体" w:hAnsi="黑体" w:eastAsia="黑体" w:cs="黑体"/>
          <w:color w:val="auto"/>
          <w:sz w:val="24"/>
          <w:szCs w:val="24"/>
        </w:rPr>
        <w:fldChar w:fldCharType="begin"/>
      </w:r>
      <w:r>
        <w:rPr>
          <w:rFonts w:hint="eastAsia" w:ascii="黑体" w:hAnsi="黑体" w:eastAsia="黑体" w:cs="黑体"/>
          <w:color w:val="auto"/>
          <w:sz w:val="24"/>
          <w:szCs w:val="24"/>
        </w:rPr>
        <w:instrText xml:space="preserve"> PAGEREF _Toc68789966 \h </w:instrText>
      </w:r>
      <w:r>
        <w:rPr>
          <w:rFonts w:hint="eastAsia" w:ascii="黑体" w:hAnsi="黑体" w:eastAsia="黑体" w:cs="黑体"/>
          <w:color w:val="auto"/>
          <w:sz w:val="24"/>
          <w:szCs w:val="24"/>
        </w:rPr>
        <w:fldChar w:fldCharType="separate"/>
      </w:r>
      <w:r>
        <w:rPr>
          <w:rFonts w:hint="eastAsia" w:ascii="黑体" w:hAnsi="黑体" w:eastAsia="黑体" w:cs="黑体"/>
          <w:color w:val="auto"/>
          <w:sz w:val="24"/>
          <w:szCs w:val="24"/>
        </w:rPr>
        <w:t>1</w:t>
      </w:r>
      <w:r>
        <w:rPr>
          <w:rFonts w:hint="eastAsia" w:ascii="黑体" w:hAnsi="黑体" w:eastAsia="黑体" w:cs="黑体"/>
          <w:color w:val="auto"/>
          <w:sz w:val="24"/>
          <w:szCs w:val="24"/>
        </w:rPr>
        <w:fldChar w:fldCharType="end"/>
      </w:r>
      <w:r>
        <w:rPr>
          <w:rFonts w:hint="eastAsia" w:ascii="黑体" w:hAnsi="黑体" w:eastAsia="黑体" w:cs="黑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"_Toc68789967"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1.1 </w:t>
      </w:r>
      <w:r>
        <w:rPr>
          <w:rFonts w:hint="eastAsia" w:ascii="宋体" w:hAnsi="宋体" w:eastAsia="宋体" w:cs="宋体"/>
          <w:color w:val="auto"/>
          <w:sz w:val="24"/>
          <w:szCs w:val="24"/>
        </w:rPr>
        <w:t>选题背景</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_Toc68789967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"_Toc68789968"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1.2 </w:t>
      </w:r>
      <w:r>
        <w:rPr>
          <w:rFonts w:hint="eastAsia" w:ascii="宋体" w:hAnsi="宋体" w:eastAsia="宋体" w:cs="宋体"/>
          <w:color w:val="auto"/>
          <w:sz w:val="24"/>
          <w:szCs w:val="24"/>
        </w:rPr>
        <w:t>研究意义</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_Toc68789968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textAlignment w:val="auto"/>
        <w:rPr>
          <w:rFonts w:ascii="黑体" w:hAnsi="黑体" w:eastAsia="黑体"/>
          <w:color w:val="auto"/>
          <w:sz w:val="24"/>
          <w:szCs w:val="24"/>
        </w:rPr>
      </w:pPr>
      <w:r>
        <w:rPr>
          <w:color w:val="auto"/>
          <w:sz w:val="24"/>
          <w:szCs w:val="24"/>
        </w:rPr>
        <w:fldChar w:fldCharType="begin"/>
      </w:r>
      <w:r>
        <w:rPr>
          <w:color w:val="auto"/>
          <w:sz w:val="24"/>
          <w:szCs w:val="24"/>
        </w:rPr>
        <w:instrText xml:space="preserve"> HYPERLINK \l "_Toc68789969" </w:instrText>
      </w:r>
      <w:r>
        <w:rPr>
          <w:color w:val="auto"/>
          <w:sz w:val="24"/>
          <w:szCs w:val="24"/>
        </w:rPr>
        <w:fldChar w:fldCharType="separate"/>
      </w:r>
      <w:r>
        <w:rPr>
          <w:rFonts w:hint="eastAsia" w:ascii="黑体" w:hAnsi="黑体" w:eastAsia="黑体" w:cs="黑体"/>
          <w:color w:val="auto"/>
          <w:sz w:val="24"/>
          <w:szCs w:val="24"/>
          <w:lang w:val="en-US" w:eastAsia="zh-CN"/>
        </w:rPr>
        <w:t xml:space="preserve">第2章 </w:t>
      </w:r>
      <w:r>
        <w:rPr>
          <w:rFonts w:hint="eastAsia" w:ascii="黑体" w:hAnsi="黑体" w:eastAsia="黑体" w:cs="黑体"/>
          <w:color w:val="auto"/>
          <w:sz w:val="24"/>
          <w:szCs w:val="24"/>
        </w:rPr>
        <w:t>文献综述</w:t>
      </w:r>
      <w:r>
        <w:rPr>
          <w:rFonts w:ascii="黑体" w:hAnsi="黑体" w:eastAsia="黑体"/>
          <w:color w:val="auto"/>
          <w:sz w:val="24"/>
          <w:szCs w:val="24"/>
        </w:rPr>
        <w:tab/>
      </w:r>
      <w:r>
        <w:rPr>
          <w:rFonts w:ascii="黑体" w:hAnsi="黑体" w:eastAsia="黑体"/>
          <w:color w:val="auto"/>
          <w:sz w:val="24"/>
          <w:szCs w:val="24"/>
        </w:rPr>
        <w:fldChar w:fldCharType="begin"/>
      </w:r>
      <w:r>
        <w:rPr>
          <w:rFonts w:ascii="黑体" w:hAnsi="黑体" w:eastAsia="黑体"/>
          <w:color w:val="auto"/>
          <w:sz w:val="24"/>
          <w:szCs w:val="24"/>
        </w:rPr>
        <w:instrText xml:space="preserve"> PAGEREF _Toc68789969 \h </w:instrText>
      </w:r>
      <w:r>
        <w:rPr>
          <w:rFonts w:ascii="黑体" w:hAnsi="黑体" w:eastAsia="黑体"/>
          <w:color w:val="auto"/>
          <w:sz w:val="24"/>
          <w:szCs w:val="24"/>
        </w:rPr>
        <w:fldChar w:fldCharType="separate"/>
      </w:r>
      <w:r>
        <w:rPr>
          <w:rFonts w:ascii="黑体" w:hAnsi="黑体" w:eastAsia="黑体"/>
          <w:color w:val="auto"/>
          <w:sz w:val="24"/>
          <w:szCs w:val="24"/>
        </w:rPr>
        <w:t>2</w:t>
      </w:r>
      <w:r>
        <w:rPr>
          <w:rFonts w:ascii="黑体" w:hAnsi="黑体" w:eastAsia="黑体"/>
          <w:color w:val="auto"/>
          <w:sz w:val="24"/>
          <w:szCs w:val="24"/>
        </w:rPr>
        <w:fldChar w:fldCharType="end"/>
      </w:r>
      <w:r>
        <w:rPr>
          <w:rFonts w:ascii="黑体" w:hAnsi="黑体" w:eastAsia="黑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"_Toc68789970"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2.1 </w:t>
      </w:r>
      <w:r>
        <w:rPr>
          <w:rFonts w:hint="eastAsia" w:ascii="宋体" w:hAnsi="宋体" w:eastAsia="宋体" w:cs="宋体"/>
          <w:color w:val="auto"/>
          <w:sz w:val="24"/>
          <w:szCs w:val="24"/>
        </w:rPr>
        <w:t>国外文献综述</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_Toc68789970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ascii="黑体" w:hAnsi="黑体" w:eastAsia="黑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"_Toc68789971"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2.2 </w:t>
      </w:r>
      <w:r>
        <w:rPr>
          <w:rFonts w:hint="eastAsia" w:ascii="宋体" w:hAnsi="宋体" w:eastAsia="宋体" w:cs="宋体"/>
          <w:color w:val="auto"/>
          <w:sz w:val="24"/>
          <w:szCs w:val="24"/>
        </w:rPr>
        <w:t>国内文献综述</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3</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textAlignment w:val="auto"/>
        <w:rPr>
          <w:rFonts w:ascii="黑体" w:hAnsi="黑体" w:eastAsia="黑体"/>
          <w:color w:val="auto"/>
          <w:sz w:val="24"/>
          <w:szCs w:val="24"/>
        </w:rPr>
      </w:pPr>
      <w:r>
        <w:rPr>
          <w:color w:val="auto"/>
          <w:sz w:val="24"/>
          <w:szCs w:val="24"/>
        </w:rPr>
        <w:fldChar w:fldCharType="begin"/>
      </w:r>
      <w:r>
        <w:rPr>
          <w:color w:val="auto"/>
          <w:sz w:val="24"/>
          <w:szCs w:val="24"/>
        </w:rPr>
        <w:instrText xml:space="preserve"> HYPERLINK \l "_Toc68789972" </w:instrText>
      </w:r>
      <w:r>
        <w:rPr>
          <w:color w:val="auto"/>
          <w:sz w:val="24"/>
          <w:szCs w:val="24"/>
        </w:rPr>
        <w:fldChar w:fldCharType="separate"/>
      </w:r>
      <w:r>
        <w:rPr>
          <w:rFonts w:hint="eastAsia" w:ascii="黑体" w:hAnsi="黑体" w:eastAsia="黑体" w:cs="黑体"/>
          <w:color w:val="auto"/>
          <w:sz w:val="24"/>
          <w:szCs w:val="24"/>
          <w:lang w:val="en-US" w:eastAsia="zh-CN"/>
        </w:rPr>
        <w:t xml:space="preserve">第3章 </w:t>
      </w:r>
      <w:r>
        <w:rPr>
          <w:rFonts w:hint="eastAsia" w:ascii="黑体" w:hAnsi="黑体" w:eastAsia="黑体" w:cs="黑体"/>
          <w:color w:val="auto"/>
          <w:sz w:val="24"/>
          <w:szCs w:val="24"/>
        </w:rPr>
        <w:t>山东省城镇职工养老金现况</w:t>
      </w:r>
      <w:r>
        <w:rPr>
          <w:rFonts w:ascii="黑体" w:hAnsi="黑体" w:eastAsia="黑体"/>
          <w:color w:val="auto"/>
          <w:sz w:val="24"/>
          <w:szCs w:val="24"/>
        </w:rPr>
        <w:tab/>
      </w:r>
      <w:r>
        <w:rPr>
          <w:rFonts w:hint="eastAsia" w:ascii="黑体" w:hAnsi="黑体" w:eastAsia="黑体"/>
          <w:color w:val="auto"/>
          <w:sz w:val="24"/>
          <w:szCs w:val="24"/>
          <w:lang w:val="en-US" w:eastAsia="zh-CN"/>
        </w:rPr>
        <w:t>4</w:t>
      </w:r>
      <w:r>
        <w:rPr>
          <w:rFonts w:ascii="黑体" w:hAnsi="黑体" w:eastAsia="黑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"_Toc68789973"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3.1 </w:t>
      </w:r>
      <w:r>
        <w:rPr>
          <w:rFonts w:hint="eastAsia" w:ascii="宋体" w:hAnsi="宋体" w:eastAsia="宋体" w:cs="宋体"/>
          <w:color w:val="auto"/>
          <w:sz w:val="24"/>
          <w:szCs w:val="24"/>
        </w:rPr>
        <w:t>山东省养老保险情况概述</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4</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"_Toc68789974"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3.2 </w:t>
      </w:r>
      <w:r>
        <w:rPr>
          <w:rFonts w:hint="eastAsia" w:ascii="宋体" w:hAnsi="宋体" w:eastAsia="宋体" w:cs="宋体"/>
          <w:color w:val="auto"/>
          <w:sz w:val="24"/>
          <w:szCs w:val="24"/>
        </w:rPr>
        <w:t>制度赡养率</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5</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ascii="黑体" w:hAnsi="黑体" w:eastAsia="黑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"_Toc68789975"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3.3 </w:t>
      </w:r>
      <w:r>
        <w:rPr>
          <w:rFonts w:hint="eastAsia" w:ascii="宋体" w:hAnsi="宋体" w:eastAsia="宋体" w:cs="宋体"/>
          <w:color w:val="auto"/>
          <w:sz w:val="24"/>
          <w:szCs w:val="24"/>
        </w:rPr>
        <w:t>山东省各市城镇职工养老金替代率比较分析</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5</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textAlignment w:val="auto"/>
        <w:rPr>
          <w:rFonts w:ascii="黑体" w:hAnsi="黑体" w:eastAsia="黑体"/>
          <w:color w:val="auto"/>
          <w:sz w:val="24"/>
          <w:szCs w:val="24"/>
        </w:rPr>
      </w:pPr>
      <w:r>
        <w:rPr>
          <w:color w:val="auto"/>
          <w:sz w:val="24"/>
          <w:szCs w:val="24"/>
        </w:rPr>
        <w:fldChar w:fldCharType="begin"/>
      </w:r>
      <w:r>
        <w:rPr>
          <w:color w:val="auto"/>
          <w:sz w:val="24"/>
          <w:szCs w:val="24"/>
        </w:rPr>
        <w:instrText xml:space="preserve"> HYPERLINK \l "_Toc68789976" </w:instrText>
      </w:r>
      <w:r>
        <w:rPr>
          <w:color w:val="auto"/>
          <w:sz w:val="24"/>
          <w:szCs w:val="24"/>
        </w:rPr>
        <w:fldChar w:fldCharType="separate"/>
      </w:r>
      <w:r>
        <w:rPr>
          <w:rFonts w:hint="eastAsia" w:ascii="黑体" w:hAnsi="黑体" w:eastAsia="黑体" w:cs="黑体"/>
          <w:color w:val="auto"/>
          <w:sz w:val="24"/>
          <w:szCs w:val="24"/>
          <w:lang w:val="en-US" w:eastAsia="zh-CN"/>
        </w:rPr>
        <w:t xml:space="preserve">第4章 </w:t>
      </w:r>
      <w:r>
        <w:rPr>
          <w:rFonts w:hint="eastAsia" w:ascii="黑体" w:hAnsi="黑体" w:eastAsia="黑体" w:cs="黑体"/>
          <w:color w:val="auto"/>
          <w:sz w:val="24"/>
          <w:szCs w:val="24"/>
        </w:rPr>
        <w:t>养老金替代率精算模型设定</w:t>
      </w:r>
      <w:r>
        <w:rPr>
          <w:rFonts w:ascii="黑体" w:hAnsi="黑体" w:eastAsia="黑体"/>
          <w:color w:val="auto"/>
          <w:sz w:val="24"/>
          <w:szCs w:val="24"/>
        </w:rPr>
        <w:tab/>
      </w:r>
      <w:r>
        <w:rPr>
          <w:rFonts w:ascii="黑体" w:hAnsi="黑体" w:eastAsia="黑体"/>
          <w:color w:val="auto"/>
          <w:sz w:val="24"/>
          <w:szCs w:val="24"/>
        </w:rPr>
        <w:fldChar w:fldCharType="begin"/>
      </w:r>
      <w:r>
        <w:rPr>
          <w:rFonts w:ascii="黑体" w:hAnsi="黑体" w:eastAsia="黑体"/>
          <w:color w:val="auto"/>
          <w:sz w:val="24"/>
          <w:szCs w:val="24"/>
        </w:rPr>
        <w:instrText xml:space="preserve"> PAGEREF _Toc68789976 \h </w:instrText>
      </w:r>
      <w:r>
        <w:rPr>
          <w:rFonts w:ascii="黑体" w:hAnsi="黑体" w:eastAsia="黑体"/>
          <w:color w:val="auto"/>
          <w:sz w:val="24"/>
          <w:szCs w:val="24"/>
        </w:rPr>
        <w:fldChar w:fldCharType="separate"/>
      </w:r>
      <w:r>
        <w:rPr>
          <w:rFonts w:ascii="黑体" w:hAnsi="黑体" w:eastAsia="黑体"/>
          <w:color w:val="auto"/>
          <w:sz w:val="24"/>
          <w:szCs w:val="24"/>
        </w:rPr>
        <w:t>7</w:t>
      </w:r>
      <w:r>
        <w:rPr>
          <w:rFonts w:ascii="黑体" w:hAnsi="黑体" w:eastAsia="黑体"/>
          <w:color w:val="auto"/>
          <w:sz w:val="24"/>
          <w:szCs w:val="24"/>
        </w:rPr>
        <w:fldChar w:fldCharType="end"/>
      </w:r>
      <w:r>
        <w:rPr>
          <w:rFonts w:ascii="黑体" w:hAnsi="黑体" w:eastAsia="黑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"_Toc68789977"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4.1 </w:t>
      </w:r>
      <w:r>
        <w:rPr>
          <w:rFonts w:hint="eastAsia" w:ascii="宋体" w:hAnsi="宋体" w:eastAsia="宋体" w:cs="宋体"/>
          <w:color w:val="auto"/>
          <w:sz w:val="24"/>
          <w:szCs w:val="24"/>
        </w:rPr>
        <w:t>养老金替代率模型设定</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_Toc68789977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firstLine="720" w:firstLineChars="30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4.1.1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"_Toc68789978"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个人账户养老金</w:t>
      </w:r>
      <m:oMath>
        <m:r>
          <m:rPr>
            <m:sty m:val="p"/>
          </m:rPr>
          <w:rPr>
            <w:rFonts w:hint="eastAsia" w:ascii="Cambria Math" w:hAnsi="Cambria Math" w:eastAsia="宋体" w:cs="宋体"/>
            <w:color w:val="auto"/>
            <w:sz w:val="24"/>
            <w:szCs w:val="24"/>
          </w:rPr>
          <m:t>B1</m:t>
        </m:r>
      </m:oMath>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_Toc68789978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firstLine="720" w:firstLineChars="30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4.1.2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"_Toc68789979"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基础养老金</w:t>
      </w:r>
      <m:oMath>
        <m:r>
          <m:rPr>
            <m:sty m:val="p"/>
          </m:rPr>
          <w:rPr>
            <w:rFonts w:hint="eastAsia" w:ascii="Cambria Math" w:hAnsi="Cambria Math" w:eastAsia="宋体" w:cs="宋体"/>
            <w:color w:val="auto"/>
            <w:sz w:val="24"/>
            <w:szCs w:val="24"/>
          </w:rPr>
          <m:t>B2</m:t>
        </m:r>
      </m:oMath>
      <w:r>
        <w:rPr>
          <w:rFonts w:hint="eastAsia" w:ascii="宋体" w:hAnsi="宋体" w:eastAsia="宋体" w:cs="宋体"/>
          <w:color w:val="auto"/>
          <w:sz w:val="24"/>
          <w:szCs w:val="24"/>
        </w:rPr>
        <w:tab/>
      </w:r>
      <w:r>
        <w:rPr>
          <w:rFonts w:hint="eastAsia" w:ascii="宋体" w:hAnsi="宋体" w:cs="宋体"/>
          <w:color w:val="auto"/>
          <w:sz w:val="24"/>
          <w:szCs w:val="24"/>
          <w:lang w:val="en-US" w:eastAsia="zh-CN"/>
        </w:rPr>
        <w:t>8</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"_Toc68789980"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4.2 </w:t>
      </w:r>
      <w:r>
        <w:rPr>
          <w:rFonts w:hint="eastAsia" w:ascii="宋体" w:hAnsi="宋体" w:eastAsia="宋体" w:cs="宋体"/>
          <w:color w:val="auto"/>
          <w:sz w:val="24"/>
          <w:szCs w:val="24"/>
        </w:rPr>
        <w:t>基本假设</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9</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"_Toc68789981"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4.2.1 </w:t>
      </w:r>
      <w:r>
        <w:rPr>
          <w:rFonts w:hint="eastAsia" w:ascii="宋体" w:hAnsi="宋体" w:eastAsia="宋体" w:cs="宋体"/>
          <w:color w:val="auto"/>
          <w:sz w:val="24"/>
          <w:szCs w:val="24"/>
        </w:rPr>
        <w:t>个人账户缴费率</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9</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4.2.2</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测算对象为2006年以后的“新人”</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9</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4.2.3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将男性和女性职工统筹考虑</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9</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4.2.4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"_Toc68789984"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工资增长率、个人账户记账利率</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9</w:t>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"_Toc68789985"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4.3 </w:t>
      </w:r>
      <w:r>
        <w:rPr>
          <w:rFonts w:hint="eastAsia" w:ascii="宋体" w:hAnsi="宋体" w:eastAsia="宋体" w:cs="宋体"/>
          <w:color w:val="auto"/>
          <w:sz w:val="24"/>
          <w:szCs w:val="24"/>
        </w:rPr>
        <w:t>参数选取</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fldChar w:fldCharType="end"/>
      </w:r>
      <w:r>
        <w:rPr>
          <w:rFonts w:hint="eastAsia" w:ascii="宋体" w:hAnsi="宋体" w:cs="宋体"/>
          <w:color w:val="auto"/>
          <w:sz w:val="24"/>
          <w:szCs w:val="24"/>
          <w:lang w:val="en-US" w:eastAsia="zh-CN"/>
        </w:rPr>
        <w:t>0</w:t>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 xml:space="preserve">4.3.1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"_Toc68789986"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初始年龄（a）和退休年龄（b）</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fldChar w:fldCharType="end"/>
      </w:r>
      <w:r>
        <w:rPr>
          <w:rFonts w:hint="eastAsia" w:ascii="宋体" w:hAnsi="宋体" w:cs="宋体"/>
          <w:color w:val="auto"/>
          <w:sz w:val="24"/>
          <w:szCs w:val="24"/>
          <w:lang w:val="en-US" w:eastAsia="zh-CN"/>
        </w:rPr>
        <w:t>0</w:t>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 xml:space="preserve">4.3.2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"_Toc68789987"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个人账户记账利率（i）及个人缴费工资指数（</w:t>
      </w:r>
      <w:r>
        <w:rPr>
          <w:rFonts w:hint="eastAsia" w:ascii="宋体" w:hAnsi="宋体" w:eastAsia="宋体" w:cs="宋体"/>
          <w:color w:val="auto"/>
          <w:sz w:val="24"/>
          <w:szCs w:val="24"/>
        </w:rPr>
        <w:sym w:font="Symbol" w:char="F061"/>
      </w: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fldChar w:fldCharType="end"/>
      </w:r>
      <w:r>
        <w:rPr>
          <w:rFonts w:hint="eastAsia" w:ascii="宋体" w:hAnsi="宋体" w:cs="宋体"/>
          <w:color w:val="auto"/>
          <w:sz w:val="24"/>
          <w:szCs w:val="24"/>
          <w:lang w:val="en-US" w:eastAsia="zh-CN"/>
        </w:rPr>
        <w:t>0</w:t>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 xml:space="preserve">4.3.3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"_Toc68789988"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通货膨胀率（f）</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fldChar w:fldCharType="end"/>
      </w:r>
      <w:r>
        <w:rPr>
          <w:rFonts w:hint="eastAsia" w:ascii="宋体" w:hAnsi="宋体" w:cs="宋体"/>
          <w:color w:val="auto"/>
          <w:sz w:val="24"/>
          <w:szCs w:val="24"/>
          <w:lang w:val="en-US" w:eastAsia="zh-CN"/>
        </w:rPr>
        <w:t>0</w:t>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lang w:val="en-US" w:eastAsia="zh-CN"/>
        </w:rPr>
      </w:pPr>
      <w:r>
        <w:rPr>
          <w:rFonts w:hint="eastAsia" w:ascii="宋体" w:hAnsi="宋体" w:cs="宋体"/>
          <w:color w:val="auto"/>
          <w:sz w:val="24"/>
          <w:szCs w:val="24"/>
          <w:lang w:val="en-US" w:eastAsia="zh-CN"/>
        </w:rPr>
        <w:t xml:space="preserve">4.3.4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"_Toc68789989"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工资增长率（g）</w:t>
      </w:r>
      <w:r>
        <w:rPr>
          <w:rFonts w:hint="eastAsia" w:ascii="宋体" w:hAnsi="宋体" w:eastAsia="宋体" w:cs="宋体"/>
          <w:color w:val="auto"/>
          <w:sz w:val="24"/>
          <w:szCs w:val="24"/>
        </w:rPr>
        <w:tab/>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fldChar w:fldCharType="end"/>
      </w:r>
      <w:r>
        <w:rPr>
          <w:rFonts w:hint="eastAsia" w:ascii="宋体" w:hAnsi="宋体" w:cs="宋体"/>
          <w:color w:val="auto"/>
          <w:sz w:val="24"/>
          <w:szCs w:val="24"/>
          <w:lang w:val="en-US" w:eastAsia="zh-CN"/>
        </w:rPr>
        <w:t>0</w:t>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textAlignment w:val="auto"/>
        <w:rPr>
          <w:rFonts w:hint="eastAsia" w:ascii="宋体" w:hAnsi="宋体" w:eastAsia="宋体" w:cs="宋体"/>
          <w:color w:val="auto"/>
          <w:sz w:val="24"/>
          <w:szCs w:val="24"/>
        </w:rPr>
      </w:pP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"_Toc68789991" </w:instrText>
      </w:r>
      <w:r>
        <w:rPr>
          <w:rFonts w:hint="eastAsia" w:ascii="宋体" w:hAnsi="宋体" w:eastAsia="宋体" w:cs="宋体"/>
          <w:color w:val="auto"/>
          <w:sz w:val="24"/>
          <w:szCs w:val="24"/>
        </w:rPr>
        <w:fldChar w:fldCharType="separate"/>
      </w:r>
      <w:r>
        <w:rPr>
          <w:rFonts w:hint="eastAsia" w:ascii="宋体" w:hAnsi="宋体" w:cs="宋体"/>
          <w:color w:val="auto"/>
          <w:sz w:val="24"/>
          <w:szCs w:val="24"/>
          <w:lang w:val="en-US" w:eastAsia="zh-CN"/>
        </w:rPr>
        <w:t xml:space="preserve">4.5 </w:t>
      </w:r>
      <w:r>
        <w:rPr>
          <w:rFonts w:hint="eastAsia" w:ascii="宋体" w:hAnsi="宋体" w:eastAsia="宋体" w:cs="宋体"/>
          <w:color w:val="auto"/>
          <w:sz w:val="24"/>
          <w:szCs w:val="24"/>
        </w:rPr>
        <w:t>实证分析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_Toc68789991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hint="eastAsia" w:ascii="宋体" w:hAnsi="宋体" w:eastAsia="宋体" w:cs="宋体"/>
          <w:color w:val="auto"/>
          <w:sz w:val="24"/>
          <w:szCs w:val="24"/>
        </w:rPr>
      </w:pPr>
      <w:r>
        <w:rPr>
          <w:rFonts w:hint="eastAsia" w:ascii="宋体" w:hAnsi="宋体" w:cs="宋体"/>
          <w:color w:val="auto"/>
          <w:sz w:val="24"/>
          <w:szCs w:val="24"/>
          <w:lang w:val="en-US" w:eastAsia="zh-CN"/>
        </w:rPr>
        <w:t xml:space="preserve">4.5.1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"_Toc68789992"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按照规定计发月数，延迟退休年龄对养老金替代率有正向影响</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_Toc68789992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ind w:left="420" w:leftChars="200" w:firstLine="240" w:firstLineChars="100"/>
        <w:textAlignment w:val="auto"/>
        <w:rPr>
          <w:rFonts w:ascii="黑体" w:hAnsi="黑体" w:eastAsia="黑体"/>
          <w:color w:val="auto"/>
          <w:sz w:val="24"/>
          <w:szCs w:val="24"/>
        </w:rPr>
      </w:pPr>
      <w:r>
        <w:rPr>
          <w:rFonts w:hint="eastAsia" w:ascii="宋体" w:hAnsi="宋体" w:cs="宋体"/>
          <w:color w:val="auto"/>
          <w:sz w:val="24"/>
          <w:szCs w:val="24"/>
          <w:lang w:val="en-US" w:eastAsia="zh-CN"/>
        </w:rPr>
        <w:t xml:space="preserve">4.5.2 </w:t>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HYPERLINK \l "_Toc68789993"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对于60岁退休的职工，延长计发月数导致替代率下降</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_Toc68789993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cs="宋体"/>
          <w:color w:val="auto"/>
          <w:sz w:val="24"/>
          <w:szCs w:val="24"/>
          <w:lang w:val="en-US" w:eastAsia="zh-CN"/>
        </w:rPr>
        <w:t>1</w:t>
      </w:r>
      <w:r>
        <w:rPr>
          <w:rFonts w:hint="eastAsia" w:ascii="宋体" w:hAnsi="宋体" w:eastAsia="宋体" w:cs="宋体"/>
          <w:color w:val="auto"/>
          <w:sz w:val="24"/>
          <w:szCs w:val="24"/>
        </w:rPr>
        <w:fldChar w:fldCharType="end"/>
      </w:r>
      <w:r>
        <w:rPr>
          <w:rFonts w:hint="eastAsia" w:ascii="宋体" w:hAnsi="宋体" w:eastAsia="宋体" w:cs="宋体"/>
          <w:color w:val="auto"/>
          <w:sz w:val="24"/>
          <w:szCs w:val="24"/>
        </w:rPr>
        <w:fldChar w:fldCharType="end"/>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textAlignment w:val="auto"/>
        <w:rPr>
          <w:rFonts w:hint="eastAsia" w:ascii="黑体" w:eastAsia="黑体"/>
          <w:color w:val="auto"/>
          <w:sz w:val="24"/>
          <w:szCs w:val="24"/>
          <w:lang w:val="en-US" w:eastAsia="zh-CN"/>
        </w:rPr>
      </w:pPr>
      <w:r>
        <w:rPr>
          <w:color w:val="auto"/>
          <w:sz w:val="24"/>
          <w:szCs w:val="24"/>
        </w:rPr>
        <w:fldChar w:fldCharType="begin"/>
      </w:r>
      <w:r>
        <w:rPr>
          <w:color w:val="auto"/>
          <w:sz w:val="24"/>
          <w:szCs w:val="24"/>
        </w:rPr>
        <w:instrText xml:space="preserve"> HYPERLINK \l "_Toc68789994" </w:instrText>
      </w:r>
      <w:r>
        <w:rPr>
          <w:color w:val="auto"/>
          <w:sz w:val="24"/>
          <w:szCs w:val="24"/>
        </w:rPr>
        <w:fldChar w:fldCharType="separate"/>
      </w:r>
      <w:r>
        <w:rPr>
          <w:rFonts w:hint="eastAsia" w:ascii="黑体" w:hAnsi="黑体" w:eastAsia="黑体" w:cs="黑体"/>
          <w:color w:val="auto"/>
          <w:sz w:val="24"/>
          <w:szCs w:val="24"/>
          <w:lang w:val="en-US" w:eastAsia="zh-CN"/>
        </w:rPr>
        <w:t xml:space="preserve">第5章 </w:t>
      </w:r>
      <w:r>
        <w:rPr>
          <w:rFonts w:hint="eastAsia" w:ascii="黑体" w:hAnsi="黑体" w:eastAsia="黑体" w:cs="黑体"/>
          <w:color w:val="auto"/>
          <w:sz w:val="24"/>
          <w:szCs w:val="24"/>
        </w:rPr>
        <w:t>结论</w:t>
      </w:r>
      <w:r>
        <w:rPr>
          <w:rFonts w:ascii="黑体" w:eastAsia="黑体"/>
          <w:color w:val="auto"/>
          <w:sz w:val="24"/>
          <w:szCs w:val="24"/>
        </w:rPr>
        <w:tab/>
      </w:r>
      <w:r>
        <w:rPr>
          <w:rFonts w:hint="eastAsia" w:ascii="宋体" w:hAnsi="宋体" w:eastAsia="宋体" w:cs="宋体"/>
          <w:color w:val="auto"/>
          <w:sz w:val="24"/>
          <w:szCs w:val="24"/>
          <w:lang w:val="en-US" w:eastAsia="zh-CN"/>
        </w:rPr>
        <w:t>1</w:t>
      </w:r>
      <w:r>
        <w:rPr>
          <w:rFonts w:ascii="黑体" w:eastAsia="黑体"/>
          <w:color w:val="auto"/>
          <w:sz w:val="24"/>
          <w:szCs w:val="24"/>
        </w:rPr>
        <w:fldChar w:fldCharType="end"/>
      </w:r>
      <w:r>
        <w:rPr>
          <w:rFonts w:hint="eastAsia" w:ascii="宋体" w:hAnsi="宋体" w:cs="宋体"/>
          <w:color w:val="auto"/>
          <w:sz w:val="24"/>
          <w:szCs w:val="24"/>
          <w:lang w:val="en-US" w:eastAsia="zh-CN"/>
        </w:rPr>
        <w:t>3</w:t>
      </w:r>
    </w:p>
    <w:p>
      <w:pPr>
        <w:pStyle w:val="19"/>
        <w:keepNext w:val="0"/>
        <w:keepLines w:val="0"/>
        <w:pageBreakBefore w:val="0"/>
        <w:widowControl w:val="0"/>
        <w:tabs>
          <w:tab w:val="right" w:leader="dot" w:pos="8296"/>
        </w:tabs>
        <w:kinsoku/>
        <w:wordWrap/>
        <w:overflowPunct/>
        <w:topLinePunct w:val="0"/>
        <w:autoSpaceDE/>
        <w:autoSpaceDN/>
        <w:bidi w:val="0"/>
        <w:adjustRightInd/>
        <w:snapToGrid/>
        <w:spacing w:line="400" w:lineRule="exact"/>
        <w:textAlignment w:val="auto"/>
        <w:rPr>
          <w:rFonts w:hint="eastAsia" w:ascii="黑体" w:eastAsia="黑体"/>
          <w:color w:val="auto"/>
          <w:sz w:val="24"/>
          <w:szCs w:val="24"/>
          <w:lang w:val="en-US" w:eastAsia="zh-CN"/>
        </w:rPr>
      </w:pPr>
      <w:r>
        <w:rPr>
          <w:rFonts w:hint="eastAsia" w:ascii="黑体" w:eastAsia="黑体"/>
          <w:color w:val="auto"/>
          <w:sz w:val="24"/>
          <w:szCs w:val="24"/>
        </w:rPr>
        <w:fldChar w:fldCharType="end"/>
      </w:r>
      <w:r>
        <w:rPr>
          <w:rFonts w:hint="eastAsia" w:ascii="黑体" w:hAnsi="黑体" w:eastAsia="黑体" w:cs="黑体"/>
          <w:color w:val="auto"/>
          <w:sz w:val="24"/>
          <w:szCs w:val="24"/>
        </w:rPr>
        <w:t>参考文献</w:t>
      </w:r>
      <w:r>
        <w:rPr>
          <w:rFonts w:hint="eastAsia" w:ascii="黑体" w:eastAsia="黑体"/>
          <w:color w:val="auto"/>
          <w:sz w:val="24"/>
          <w:szCs w:val="24"/>
        </w:rPr>
        <w:t xml:space="preserve"> </w:t>
      </w:r>
      <w:r>
        <w:rPr>
          <w:rFonts w:hint="eastAsia" w:ascii="黑体" w:eastAsia="黑体"/>
          <w:color w:val="auto"/>
          <w:sz w:val="24"/>
          <w:szCs w:val="24"/>
        </w:rPr>
        <w:tab/>
      </w:r>
      <w:r>
        <w:rPr>
          <w:rFonts w:hint="eastAsia" w:ascii="宋体" w:hAnsi="宋体" w:eastAsia="宋体" w:cs="宋体"/>
          <w:color w:val="auto"/>
          <w:sz w:val="24"/>
          <w:szCs w:val="24"/>
        </w:rPr>
        <w:t>1</w:t>
      </w:r>
      <w:r>
        <w:rPr>
          <w:rFonts w:hint="eastAsia" w:ascii="宋体" w:hAnsi="宋体" w:cs="宋体"/>
          <w:color w:val="auto"/>
          <w:sz w:val="24"/>
          <w:szCs w:val="24"/>
          <w:lang w:val="en-US" w:eastAsia="zh-CN"/>
        </w:rPr>
        <w:t>4</w:t>
      </w:r>
    </w:p>
    <w:p>
      <w:pPr>
        <w:keepNext w:val="0"/>
        <w:keepLines w:val="0"/>
        <w:pageBreakBefore w:val="0"/>
        <w:widowControl w:val="0"/>
        <w:tabs>
          <w:tab w:val="left" w:pos="3360"/>
        </w:tabs>
        <w:kinsoku/>
        <w:wordWrap/>
        <w:overflowPunct/>
        <w:topLinePunct w:val="0"/>
        <w:autoSpaceDE/>
        <w:autoSpaceDN/>
        <w:bidi w:val="0"/>
        <w:adjustRightInd/>
        <w:snapToGrid/>
        <w:spacing w:line="400" w:lineRule="exact"/>
        <w:jc w:val="both"/>
        <w:textAlignment w:val="auto"/>
        <w:rPr>
          <w:rFonts w:hint="eastAsia" w:ascii="黑体" w:eastAsia="黑体"/>
          <w:color w:val="auto"/>
          <w:sz w:val="24"/>
          <w:szCs w:val="24"/>
          <w:lang w:val="en-US" w:eastAsia="zh-CN"/>
        </w:rPr>
        <w:sectPr>
          <w:headerReference r:id="rId8" w:type="default"/>
          <w:headerReference r:id="rId9" w:type="even"/>
          <w:pgSz w:w="11906" w:h="16838"/>
          <w:pgMar w:top="1418" w:right="1134" w:bottom="1134" w:left="1418" w:header="851" w:footer="992" w:gutter="0"/>
          <w:pgNumType w:fmt="decimal" w:start="4"/>
          <w:cols w:space="425" w:num="1"/>
          <w:docGrid w:type="linesAndChars" w:linePitch="324" w:charSpace="0"/>
        </w:sectPr>
      </w:pPr>
      <w:r>
        <w:rPr>
          <w:rFonts w:hint="eastAsia" w:ascii="黑体" w:hAnsi="黑体" w:eastAsia="黑体" w:cs="黑体"/>
          <w:color w:val="auto"/>
          <w:sz w:val="24"/>
          <w:szCs w:val="24"/>
        </w:rPr>
        <w:t>致谢</w:t>
      </w:r>
      <w:r>
        <w:rPr>
          <w:rFonts w:hint="eastAsia" w:ascii="黑体" w:hAnsi="黑体" w:eastAsia="黑体" w:cs="黑体"/>
          <w:color w:val="auto"/>
          <w:sz w:val="24"/>
          <w:szCs w:val="24"/>
          <w:lang w:val="en-US" w:eastAsia="zh-CN"/>
        </w:rPr>
        <w:t>...............................................................</w:t>
      </w:r>
      <w:r>
        <w:rPr>
          <w:rFonts w:hint="eastAsia" w:ascii="宋体" w:hAnsi="宋体" w:eastAsia="宋体" w:cs="宋体"/>
          <w:color w:val="auto"/>
          <w:sz w:val="24"/>
          <w:szCs w:val="24"/>
        </w:rPr>
        <w:t>1</w:t>
      </w:r>
      <w:bookmarkStart w:id="8" w:name="_Toc322714389"/>
      <w:bookmarkStart w:id="9" w:name="_Toc322713621"/>
      <w:bookmarkStart w:id="10" w:name="_Toc323033598"/>
      <w:bookmarkStart w:id="11" w:name="_Toc68789966"/>
      <w:r>
        <w:rPr>
          <w:rFonts w:hint="eastAsia" w:ascii="宋体" w:hAnsi="宋体" w:cs="宋体"/>
          <w:color w:val="auto"/>
          <w:sz w:val="24"/>
          <w:szCs w:val="24"/>
          <w:lang w:val="en-US" w:eastAsia="zh-CN"/>
        </w:rPr>
        <w:t>5</w:t>
      </w:r>
    </w:p>
    <w:p>
      <w:pPr>
        <w:tabs>
          <w:tab w:val="left" w:pos="3360"/>
        </w:tabs>
        <w:jc w:val="center"/>
        <w:rPr>
          <w:color w:val="FF0000"/>
          <w:sz w:val="30"/>
          <w:highlight w:val="yellow"/>
        </w:rPr>
      </w:pPr>
      <w:r>
        <w:rPr>
          <w:rFonts w:hint="eastAsia"/>
          <w:color w:val="FF0000"/>
          <w:sz w:val="30"/>
          <w:highlight w:val="none"/>
          <w:lang w:eastAsia="zh-CN"/>
        </w:rPr>
        <w:t>（</w:t>
      </w:r>
      <w:r>
        <w:rPr>
          <w:rFonts w:hint="eastAsia"/>
          <w:color w:val="FF0000"/>
          <w:sz w:val="30"/>
          <w:highlight w:val="none"/>
        </w:rPr>
        <w:t>注意页眉是</w:t>
      </w:r>
      <w:r>
        <w:rPr>
          <w:rFonts w:hint="eastAsia"/>
          <w:color w:val="FF0000"/>
          <w:sz w:val="30"/>
          <w:highlight w:val="none"/>
          <w:lang w:eastAsia="zh-CN"/>
        </w:rPr>
        <w:t>“</w:t>
      </w:r>
      <w:r>
        <w:rPr>
          <w:rFonts w:hint="eastAsia"/>
          <w:color w:val="FF0000"/>
          <w:sz w:val="30"/>
          <w:highlight w:val="none"/>
          <w:lang w:val="en-US" w:eastAsia="zh-CN"/>
        </w:rPr>
        <w:t>山东财经大学本科毕业论文（设计）”，从正文开始）</w:t>
      </w:r>
    </w:p>
    <w:bookmarkEnd w:id="8"/>
    <w:bookmarkEnd w:id="9"/>
    <w:bookmarkEnd w:id="10"/>
    <w:p>
      <w:pPr>
        <w:spacing w:before="162" w:beforeLines="50" w:after="162" w:afterLines="50"/>
        <w:jc w:val="center"/>
        <w:outlineLvl w:val="0"/>
        <w:rPr>
          <w:rFonts w:ascii="黑体" w:hAnsi="黑体" w:eastAsia="黑体"/>
          <w:sz w:val="32"/>
          <w:szCs w:val="32"/>
        </w:rPr>
      </w:pPr>
      <w:r>
        <w:rPr>
          <w:rFonts w:hint="eastAsia" w:ascii="黑体" w:hAnsi="黑体" w:eastAsia="黑体"/>
          <w:sz w:val="32"/>
          <w:szCs w:val="32"/>
          <w:lang w:val="en-US" w:eastAsia="zh-CN"/>
        </w:rPr>
        <w:t xml:space="preserve">第1章  </w:t>
      </w:r>
      <w:r>
        <w:rPr>
          <w:rFonts w:hint="eastAsia" w:ascii="黑体" w:hAnsi="黑体" w:eastAsia="黑体"/>
          <w:sz w:val="32"/>
          <w:szCs w:val="32"/>
        </w:rPr>
        <w:t>选题背景及研究意义</w:t>
      </w:r>
      <w:bookmarkEnd w:id="11"/>
    </w:p>
    <w:p>
      <w:pPr>
        <w:spacing w:before="162" w:beforeLines="50" w:after="162" w:afterLines="50"/>
        <w:jc w:val="center"/>
        <w:outlineLvl w:val="0"/>
        <w:rPr>
          <w:rFonts w:ascii="黑体" w:hAnsi="黑体" w:eastAsia="黑体"/>
          <w:sz w:val="32"/>
          <w:szCs w:val="32"/>
        </w:rPr>
      </w:pPr>
      <w:r>
        <w:rPr>
          <w:rFonts w:hint="eastAsia" w:ascii="黑体" w:hAnsi="黑体" w:eastAsia="黑体"/>
          <w:color w:val="FF0000"/>
          <w:sz w:val="32"/>
          <w:szCs w:val="32"/>
        </w:rPr>
        <w:t>（</w:t>
      </w:r>
      <w:r>
        <w:rPr>
          <w:rFonts w:hint="eastAsia" w:ascii="黑体" w:hAnsi="黑体" w:eastAsia="黑体"/>
          <w:color w:val="FF0000"/>
          <w:sz w:val="32"/>
          <w:szCs w:val="32"/>
          <w:lang w:val="en-US" w:eastAsia="zh-CN"/>
        </w:rPr>
        <w:t>章</w:t>
      </w:r>
      <w:r>
        <w:rPr>
          <w:rFonts w:hint="eastAsia" w:ascii="黑体" w:hAnsi="黑体" w:eastAsia="黑体"/>
          <w:color w:val="FF0000"/>
          <w:sz w:val="32"/>
          <w:szCs w:val="32"/>
        </w:rPr>
        <w:t>标题，三号</w:t>
      </w:r>
      <w:r>
        <w:rPr>
          <w:rFonts w:hint="eastAsia" w:ascii="黑体" w:hAnsi="黑体" w:eastAsia="黑体"/>
          <w:color w:val="FF0000"/>
          <w:sz w:val="32"/>
          <w:szCs w:val="32"/>
          <w:lang w:eastAsia="zh-CN"/>
        </w:rPr>
        <w:t>，</w:t>
      </w:r>
      <w:r>
        <w:rPr>
          <w:rFonts w:hint="eastAsia" w:ascii="黑体" w:hAnsi="黑体" w:eastAsia="黑体"/>
          <w:color w:val="FF0000"/>
          <w:sz w:val="32"/>
          <w:szCs w:val="32"/>
        </w:rPr>
        <w:t>黑体，居中）</w:t>
      </w:r>
    </w:p>
    <w:p>
      <w:pPr>
        <w:autoSpaceDE w:val="0"/>
        <w:autoSpaceDN w:val="0"/>
        <w:adjustRightInd w:val="0"/>
        <w:spacing w:before="162" w:beforeLines="50" w:after="162" w:afterLines="50"/>
        <w:outlineLvl w:val="0"/>
        <w:rPr>
          <w:rFonts w:ascii="黑体" w:hAnsi="黑体" w:eastAsia="黑体" w:cs="宋体"/>
          <w:kern w:val="0"/>
          <w:sz w:val="28"/>
          <w:szCs w:val="28"/>
        </w:rPr>
      </w:pPr>
      <w:bookmarkStart w:id="12" w:name="_Toc68789967"/>
      <w:r>
        <w:rPr>
          <w:rFonts w:hint="eastAsia" w:ascii="黑体" w:hAnsi="黑体" w:eastAsia="黑体" w:cs="宋体"/>
          <w:kern w:val="0"/>
          <w:sz w:val="28"/>
          <w:szCs w:val="28"/>
          <w:lang w:val="en-US" w:eastAsia="zh-CN"/>
        </w:rPr>
        <w:t xml:space="preserve">1.1  </w:t>
      </w:r>
      <w:r>
        <w:rPr>
          <w:rFonts w:hint="eastAsia" w:ascii="黑体" w:hAnsi="黑体" w:eastAsia="黑体" w:cs="宋体"/>
          <w:kern w:val="0"/>
          <w:sz w:val="28"/>
          <w:szCs w:val="28"/>
        </w:rPr>
        <w:t>选题背景</w:t>
      </w:r>
      <w:bookmarkEnd w:id="12"/>
      <w:r>
        <w:rPr>
          <w:rFonts w:hint="eastAsia" w:ascii="黑体" w:hAnsi="黑体" w:eastAsia="黑体"/>
          <w:color w:val="FF0000"/>
          <w:sz w:val="32"/>
          <w:szCs w:val="32"/>
        </w:rPr>
        <w:t>（</w:t>
      </w:r>
      <w:r>
        <w:rPr>
          <w:rFonts w:hint="eastAsia" w:ascii="黑体" w:hAnsi="黑体" w:eastAsia="黑体"/>
          <w:color w:val="FF0000"/>
          <w:sz w:val="32"/>
          <w:szCs w:val="32"/>
          <w:lang w:val="en-US" w:eastAsia="zh-CN"/>
        </w:rPr>
        <w:t>节</w:t>
      </w:r>
      <w:r>
        <w:rPr>
          <w:rFonts w:hint="eastAsia" w:ascii="黑体" w:hAnsi="黑体" w:eastAsia="黑体"/>
          <w:color w:val="FF0000"/>
          <w:sz w:val="32"/>
          <w:szCs w:val="32"/>
        </w:rPr>
        <w:t>标题，四号</w:t>
      </w:r>
      <w:r>
        <w:rPr>
          <w:rFonts w:hint="eastAsia" w:ascii="黑体" w:hAnsi="黑体" w:eastAsia="黑体"/>
          <w:color w:val="FF0000"/>
          <w:sz w:val="32"/>
          <w:szCs w:val="32"/>
          <w:lang w:eastAsia="zh-CN"/>
        </w:rPr>
        <w:t>，</w:t>
      </w:r>
      <w:r>
        <w:rPr>
          <w:rFonts w:hint="eastAsia" w:ascii="黑体" w:hAnsi="黑体" w:eastAsia="黑体"/>
          <w:color w:val="FF0000"/>
          <w:sz w:val="32"/>
          <w:szCs w:val="32"/>
        </w:rPr>
        <w:t>黑体，</w:t>
      </w:r>
      <w:r>
        <w:rPr>
          <w:rFonts w:hint="eastAsia" w:ascii="黑体" w:hAnsi="黑体" w:eastAsia="黑体"/>
          <w:color w:val="FF0000"/>
          <w:sz w:val="32"/>
          <w:szCs w:val="32"/>
          <w:lang w:val="en-US" w:eastAsia="zh-CN"/>
        </w:rPr>
        <w:t>顶格写</w:t>
      </w:r>
      <w:r>
        <w:rPr>
          <w:rFonts w:hint="eastAsia" w:ascii="黑体" w:hAnsi="黑体" w:eastAsia="黑体"/>
          <w:color w:val="FF0000"/>
          <w:sz w:val="32"/>
          <w:szCs w:val="32"/>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随着我国社会经济持续高速稳定发展，人民生活水平得到与日俱进的改善同时人口老龄化的问题愈发严重，社会对基本养老保险的需求和依赖也日益凸显。基本养老保险一直是我国社会保险体系中保险密度最大、给付金额最高的制度，其对社会生活影响的广度和深度远超其他制度，对社会稳定的贡献不可估量。在《山东省统计年鉴-2020》中提供的数据显示2019山东省65岁以上人口达到了总人口数15.8%，而同年全国65岁以上人口占比为12.6%，作为人口大省，山东省的老龄化程度远超出全国水平，面临着更加严峻的社会养老金问题。老龄化社会的一大问题就是关于基础社会保障的政策及其实际惠及到每一个人的程度将会比非老龄化的时候要更难以满足离退休人民退休后的日常生活质量，而作为把个人退休行为与社会养老保障体系链接在一起的退休制度的核心问题，延迟退休成为了社会的焦点话题。</w:t>
      </w:r>
      <w:r>
        <w:rPr>
          <w:rFonts w:hint="eastAsia" w:ascii="宋体" w:hAnsi="宋体"/>
          <w:color w:val="FF0000"/>
          <w:sz w:val="24"/>
        </w:rPr>
        <w:t>（正文</w:t>
      </w:r>
      <w:r>
        <w:rPr>
          <w:rFonts w:hint="eastAsia" w:ascii="宋体" w:hAnsi="宋体"/>
          <w:color w:val="FF0000"/>
          <w:sz w:val="24"/>
          <w:lang w:eastAsia="zh-CN"/>
        </w:rPr>
        <w:t>，</w:t>
      </w:r>
      <w:r>
        <w:rPr>
          <w:rFonts w:hint="eastAsia" w:ascii="宋体" w:hAnsi="宋体"/>
          <w:color w:val="FF0000"/>
          <w:sz w:val="24"/>
        </w:rPr>
        <w:t>小四</w:t>
      </w:r>
      <w:r>
        <w:rPr>
          <w:rFonts w:hint="eastAsia" w:ascii="宋体" w:hAnsi="宋体"/>
          <w:color w:val="FF0000"/>
          <w:sz w:val="24"/>
          <w:lang w:eastAsia="zh-CN"/>
        </w:rPr>
        <w:t>，</w:t>
      </w:r>
      <w:r>
        <w:rPr>
          <w:rFonts w:hint="eastAsia" w:ascii="宋体" w:hAnsi="宋体"/>
          <w:color w:val="FF0000"/>
          <w:sz w:val="24"/>
        </w:rPr>
        <w:t>宋体，1.5</w:t>
      </w:r>
      <w:r>
        <w:rPr>
          <w:rFonts w:hint="eastAsia" w:ascii="宋体" w:hAnsi="宋体"/>
          <w:color w:val="FF0000"/>
          <w:sz w:val="24"/>
          <w:lang w:val="en-US" w:eastAsia="zh-CN"/>
        </w:rPr>
        <w:t>倍</w:t>
      </w:r>
      <w:r>
        <w:rPr>
          <w:rFonts w:hint="eastAsia" w:ascii="宋体" w:hAnsi="宋体"/>
          <w:color w:val="FF0000"/>
          <w:sz w:val="24"/>
        </w:rPr>
        <w:t>行距）</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hint="eastAsia" w:ascii="宋体" w:hAnsi="宋体"/>
          <w:sz w:val="24"/>
        </w:rPr>
      </w:pPr>
      <w:r>
        <w:rPr>
          <w:rFonts w:hint="eastAsia" w:ascii="宋体" w:hAnsi="宋体"/>
          <w:sz w:val="24"/>
        </w:rPr>
        <w:t>我国现行的退休年龄是从建国初期的《中华人民共和国劳动保险条例》中相关规定沿用至今的，产生了退休年龄与我国现阶段社会经济水平不匹配的现象，具体体现在以下两个方面：第一，人均预期寿命大幅度增长，结合生育政策，导致我国人口结构发生改变，对退休人口的赡养负担持续加重；第二，平均受教育年限普遍延长，在退休年龄不变使得人力资本投资回报期缩短，不利于社会养老保险统筹账户中的资金积累。</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hint="eastAsia" w:ascii="宋体" w:hAnsi="宋体"/>
          <w:sz w:val="24"/>
        </w:rPr>
      </w:pPr>
      <w:r>
        <w:rPr>
          <w:rFonts w:hint="eastAsia" w:ascii="宋体" w:hAnsi="宋体"/>
          <w:sz w:val="24"/>
        </w:rPr>
        <w:t>养老金替代率是体现养劳动者退休后生活保障的一个重要指标，更是考察现行养老保险制度下是否能够满足离退休职工基础生活水平的直观参数。过低会直接影响离退休职工的退休后的生活保障，过高则会对在岗职工和国家养老支出产生巨大的压力、影响养老统筹账户的可持续性，不论过高还是过低都会对在岗职工生产积极性、社会经济活力以及社会稳定性产生极大地冲击。为了保证养老体系的稳定性、可持续性和有效性，必须选定合适的养老金替代率。</w:t>
      </w:r>
    </w:p>
    <w:p>
      <w:pPr>
        <w:keepNext w:val="0"/>
        <w:keepLines w:val="0"/>
        <w:pageBreakBefore w:val="0"/>
        <w:widowControl w:val="0"/>
        <w:kinsoku/>
        <w:wordWrap/>
        <w:overflowPunct/>
        <w:topLinePunct w:val="0"/>
        <w:autoSpaceDE w:val="0"/>
        <w:autoSpaceDN w:val="0"/>
        <w:bidi w:val="0"/>
        <w:adjustRightInd w:val="0"/>
        <w:snapToGrid/>
        <w:spacing w:before="162" w:beforeLines="50" w:after="162" w:afterLines="50"/>
        <w:textAlignment w:val="auto"/>
        <w:outlineLvl w:val="0"/>
        <w:rPr>
          <w:rFonts w:ascii="黑体" w:hAnsi="黑体" w:eastAsia="黑体" w:cs="宋体"/>
          <w:kern w:val="0"/>
          <w:sz w:val="28"/>
          <w:szCs w:val="28"/>
        </w:rPr>
      </w:pPr>
      <w:bookmarkStart w:id="13" w:name="_Toc68789968"/>
      <w:r>
        <w:rPr>
          <w:rFonts w:hint="eastAsia" w:ascii="黑体" w:hAnsi="黑体" w:eastAsia="黑体" w:cs="宋体"/>
          <w:kern w:val="0"/>
          <w:sz w:val="28"/>
          <w:szCs w:val="28"/>
          <w:lang w:val="en-US" w:eastAsia="zh-CN"/>
        </w:rPr>
        <w:t xml:space="preserve">1.2  </w:t>
      </w:r>
      <w:r>
        <w:rPr>
          <w:rFonts w:hint="eastAsia" w:ascii="黑体" w:hAnsi="黑体" w:eastAsia="黑体" w:cs="宋体"/>
          <w:kern w:val="0"/>
          <w:sz w:val="28"/>
          <w:szCs w:val="28"/>
        </w:rPr>
        <w:t>研究意义</w:t>
      </w:r>
      <w:bookmarkEnd w:id="13"/>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从社会养老保险的角度来看，延迟退休政策的实施刻不容缓，本文希望能够将现有研究中的精算模型经过调整后应用在山东省近年数据上，验证在山东省的社会经济情况下，延迟退休对职工养老保险替代率是否具有积极作用。同时通过未来法的计算方式，帮助读者从定量的角度来考察延迟退休对个人的裨益。</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为了照顾到不同省市的统计数据与全国数据的口径、特征有所差异，文章在部分特征值的选取上略有不同。本文选取城镇职工的养老金情况做养老金替代率测算有以下原因：第一，城镇职工相较于农村职工的档案化、系统化的完善度更高，数据更可靠、全面；第二，城镇职工完全脱离土地获得生活收入因此工作和收入较为稳定，其生活也更适应城镇化的发展。</w:t>
      </w:r>
    </w:p>
    <w:p>
      <w:pPr>
        <w:autoSpaceDE w:val="0"/>
        <w:autoSpaceDN w:val="0"/>
        <w:adjustRightInd w:val="0"/>
        <w:spacing w:before="162" w:beforeLines="50" w:after="162" w:afterLines="50"/>
        <w:jc w:val="center"/>
        <w:outlineLvl w:val="0"/>
        <w:rPr>
          <w:rFonts w:ascii="黑体" w:hAnsi="黑体" w:eastAsia="黑体"/>
          <w:sz w:val="32"/>
          <w:szCs w:val="32"/>
        </w:rPr>
      </w:pPr>
      <w:bookmarkStart w:id="14" w:name="_Toc68789969"/>
      <w:bookmarkStart w:id="15" w:name="_Toc322714391"/>
      <w:bookmarkStart w:id="16" w:name="_Toc323033600"/>
      <w:bookmarkStart w:id="17" w:name="_Toc322713623"/>
      <w:r>
        <w:rPr>
          <w:rFonts w:hint="eastAsia" w:ascii="黑体" w:hAnsi="黑体" w:eastAsia="黑体"/>
          <w:sz w:val="32"/>
          <w:szCs w:val="32"/>
          <w:lang w:val="en-US" w:eastAsia="zh-CN"/>
        </w:rPr>
        <w:t xml:space="preserve">第2章  </w:t>
      </w:r>
      <w:r>
        <w:rPr>
          <w:rFonts w:hint="eastAsia" w:ascii="黑体" w:hAnsi="黑体" w:eastAsia="黑体"/>
          <w:sz w:val="32"/>
          <w:szCs w:val="32"/>
        </w:rPr>
        <w:t>文献综述</w:t>
      </w:r>
      <w:bookmarkEnd w:id="14"/>
    </w:p>
    <w:bookmarkEnd w:id="15"/>
    <w:bookmarkEnd w:id="16"/>
    <w:bookmarkEnd w:id="17"/>
    <w:p>
      <w:pPr>
        <w:autoSpaceDE w:val="0"/>
        <w:autoSpaceDN w:val="0"/>
        <w:adjustRightInd w:val="0"/>
        <w:spacing w:before="162" w:beforeLines="50" w:after="162" w:afterLines="50"/>
        <w:outlineLvl w:val="0"/>
        <w:rPr>
          <w:rFonts w:ascii="黑体" w:hAnsi="黑体" w:eastAsia="黑体"/>
          <w:sz w:val="28"/>
          <w:szCs w:val="28"/>
        </w:rPr>
      </w:pPr>
      <w:bookmarkStart w:id="18" w:name="_Toc68789970"/>
      <w:r>
        <w:rPr>
          <w:rFonts w:hint="eastAsia" w:ascii="黑体" w:hAnsi="黑体" w:eastAsia="黑体" w:cs="宋体"/>
          <w:kern w:val="0"/>
          <w:sz w:val="28"/>
          <w:szCs w:val="28"/>
          <w:lang w:val="en-US" w:eastAsia="zh-CN"/>
        </w:rPr>
        <w:t xml:space="preserve">2.1  </w:t>
      </w:r>
      <w:r>
        <w:rPr>
          <w:rFonts w:hint="eastAsia" w:ascii="黑体" w:hAnsi="黑体" w:eastAsia="黑体" w:cs="宋体"/>
          <w:kern w:val="0"/>
          <w:sz w:val="28"/>
          <w:szCs w:val="28"/>
        </w:rPr>
        <w:t>国外文献综述</w:t>
      </w:r>
      <w:bookmarkEnd w:id="18"/>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早在20世纪50年代，英国就率先体会到了社会结构老龄化对社会稳定和经济发展带来的冲击，70年代以后更多西方发达国家也步入了这个势不可挡的现代社会的洪流。所以很多西方发达国家通过多年的探索已经建立起了较为完善的应对老龄化的社会经济体制，也有大量的文献供我们学习和借鉴。英国从开始步入老龄化社会，对于在国家提供的社会福利和社会保障方面，西方发达国家较早就开始广泛深入的探讨延迟劳动者退休年龄的问题，我们可以从中得到大量宝贵的具有理论意义的研究成果。</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bookmarkStart w:id="19" w:name="OLE_LINK13"/>
      <w:r>
        <w:rPr>
          <w:rFonts w:hint="default" w:ascii="Times New Roman" w:hAnsi="Times New Roman" w:cs="Times New Roman"/>
          <w:sz w:val="24"/>
        </w:rPr>
        <w:t>Samuelson</w:t>
      </w:r>
      <w:r>
        <w:rPr>
          <w:rFonts w:hint="eastAsia" w:ascii="宋体" w:hAnsi="宋体"/>
          <w:sz w:val="24"/>
        </w:rPr>
        <w:t>（</w:t>
      </w:r>
      <w:r>
        <w:rPr>
          <w:rFonts w:hint="default" w:ascii="Times New Roman" w:hAnsi="Times New Roman" w:cs="Times New Roman"/>
          <w:sz w:val="24"/>
        </w:rPr>
        <w:t>1958</w:t>
      </w:r>
      <w:r>
        <w:rPr>
          <w:rFonts w:hint="eastAsia" w:ascii="宋体" w:hAnsi="宋体"/>
          <w:sz w:val="24"/>
        </w:rPr>
        <w:t>）</w:t>
      </w:r>
      <w:bookmarkEnd w:id="19"/>
      <w:r>
        <w:rPr>
          <w:rFonts w:hint="eastAsia" w:ascii="宋体" w:hAnsi="宋体"/>
          <w:sz w:val="24"/>
        </w:rPr>
        <w:t>等人最早将世代交叠模型引入到养老金替代率的精算模型中，该模型打破了生命周期假说中只考虑同代的限制，在社会养老保险研究实践中获得了广泛的应用</w:t>
      </w:r>
      <w:r>
        <w:rPr>
          <w:rFonts w:hint="eastAsia" w:ascii="宋体" w:hAnsi="宋体"/>
          <w:sz w:val="24"/>
          <w:vertAlign w:val="superscript"/>
        </w:rPr>
        <w:t>[</w:t>
      </w:r>
      <w:r>
        <w:rPr>
          <w:rFonts w:ascii="宋体" w:hAnsi="宋体"/>
          <w:sz w:val="24"/>
          <w:vertAlign w:val="superscript"/>
        </w:rPr>
        <w:t>1]</w:t>
      </w:r>
      <w:r>
        <w:rPr>
          <w:rFonts w:hint="eastAsia" w:ascii="宋体" w:hAnsi="宋体"/>
          <w:sz w:val="24"/>
        </w:rPr>
        <w:t>。这一模型后来经过扩展为多期世代交叠模型，允许研究问题更加动态化，开启了世代交叠模型的仿真研究的道路。OLG模型的引入提升了替代率测算的理念。我们可以把单位缴费形成的社会统筹养老金视作用于现收现付的代际赡养，是代际之间的交流；把个人缴费看作是经过保值增值的跨时期自我（同代）供养。</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default" w:ascii="Times New Roman" w:hAnsi="Times New Roman" w:cs="Times New Roman"/>
          <w:sz w:val="24"/>
        </w:rPr>
        <w:t>Juan Lacomba</w:t>
      </w:r>
      <w:r>
        <w:rPr>
          <w:rFonts w:hint="eastAsia" w:ascii="宋体" w:hAnsi="宋体"/>
          <w:sz w:val="24"/>
        </w:rPr>
        <w:t>等(2006)认为，在人口老龄化加剧的背景下，以法定退休年龄为主的政策是影响替代率水平的重要因素</w:t>
      </w:r>
      <w:r>
        <w:rPr>
          <w:rFonts w:hint="eastAsia" w:ascii="宋体" w:hAnsi="宋体"/>
          <w:sz w:val="24"/>
          <w:vertAlign w:val="superscript"/>
        </w:rPr>
        <w:t>[</w:t>
      </w:r>
      <w:r>
        <w:rPr>
          <w:rFonts w:ascii="宋体" w:hAnsi="宋体"/>
          <w:sz w:val="24"/>
          <w:vertAlign w:val="superscript"/>
        </w:rPr>
        <w:t>2]</w:t>
      </w:r>
      <w:r>
        <w:rPr>
          <w:rFonts w:hint="eastAsia" w:ascii="宋体" w:hAnsi="宋体"/>
          <w:sz w:val="24"/>
        </w:rPr>
        <w:t>。对此，</w:t>
      </w:r>
      <w:r>
        <w:rPr>
          <w:rFonts w:hint="eastAsia" w:ascii="Times New Roman" w:hAnsi="Times New Roman" w:cs="Times New Roman"/>
          <w:sz w:val="24"/>
        </w:rPr>
        <w:t>Keuschnigg</w:t>
      </w:r>
      <w:r>
        <w:rPr>
          <w:rFonts w:hint="eastAsia" w:ascii="宋体" w:hAnsi="宋体"/>
          <w:sz w:val="24"/>
        </w:rPr>
        <w:t>和</w:t>
      </w:r>
      <w:r>
        <w:rPr>
          <w:rFonts w:hint="eastAsia" w:ascii="Times New Roman" w:hAnsi="Times New Roman" w:cs="Times New Roman"/>
          <w:sz w:val="24"/>
        </w:rPr>
        <w:t>Fisher</w:t>
      </w:r>
      <w:r>
        <w:rPr>
          <w:rFonts w:hint="eastAsia" w:ascii="宋体" w:hAnsi="宋体"/>
          <w:sz w:val="24"/>
        </w:rPr>
        <w:t>（2011）在</w:t>
      </w:r>
      <w:bookmarkStart w:id="20" w:name="OLE_LINK15"/>
      <w:r>
        <w:rPr>
          <w:rFonts w:hint="eastAsia" w:ascii="宋体" w:hAnsi="宋体"/>
          <w:sz w:val="24"/>
        </w:rPr>
        <w:t>《生命周期失业率、收入和参数养老金》</w:t>
      </w:r>
      <w:bookmarkEnd w:id="20"/>
      <w:r>
        <w:rPr>
          <w:rFonts w:hint="eastAsia" w:ascii="宋体" w:hAnsi="宋体"/>
          <w:sz w:val="24"/>
        </w:rPr>
        <w:t>一文中对延迟退休和养老保险制度改革与发展的关系上进行了探讨，该研究认为提高劳动者退休年龄可以起到提高退休后养老待遇的效果，减小了单位和在岗职工的负担，也有可能为社会带来更多福利</w:t>
      </w:r>
      <w:r>
        <w:rPr>
          <w:rFonts w:hint="eastAsia" w:ascii="宋体" w:hAnsi="宋体"/>
          <w:sz w:val="24"/>
          <w:vertAlign w:val="superscript"/>
        </w:rPr>
        <w:t>[</w:t>
      </w:r>
      <w:r>
        <w:rPr>
          <w:rFonts w:ascii="宋体" w:hAnsi="宋体"/>
          <w:sz w:val="24"/>
          <w:vertAlign w:val="superscript"/>
        </w:rPr>
        <w:t>3]</w:t>
      </w:r>
      <w:r>
        <w:rPr>
          <w:rFonts w:hint="eastAsia" w:ascii="宋体" w:hAnsi="宋体"/>
          <w:sz w:val="24"/>
        </w:rPr>
        <w:t>。他们还研究了预期寿命偏差、退休激励和最大化养老金设计几个方面对养老金替代率的影响。在社会人口结构变化对养老保险带来的冲击方面，也有国外学者很早就对中国养老金制度提出了建议提出了中国应该根据时代情况及时调整养老金水平，以免人口结构变化带来的养老保险基金收支缺口。</w:t>
      </w:r>
    </w:p>
    <w:p>
      <w:pPr>
        <w:autoSpaceDE w:val="0"/>
        <w:autoSpaceDN w:val="0"/>
        <w:adjustRightInd w:val="0"/>
        <w:spacing w:before="162" w:beforeLines="50" w:after="162" w:afterLines="50"/>
        <w:outlineLvl w:val="0"/>
        <w:rPr>
          <w:rFonts w:ascii="黑体" w:hAnsi="黑体" w:eastAsia="黑体" w:cs="宋体"/>
          <w:kern w:val="0"/>
          <w:sz w:val="28"/>
          <w:szCs w:val="28"/>
        </w:rPr>
      </w:pPr>
      <w:bookmarkStart w:id="21" w:name="_Toc68789971"/>
      <w:r>
        <w:rPr>
          <w:rFonts w:hint="eastAsia" w:ascii="黑体" w:hAnsi="黑体" w:eastAsia="黑体" w:cs="宋体"/>
          <w:kern w:val="0"/>
          <w:sz w:val="28"/>
          <w:szCs w:val="28"/>
          <w:lang w:val="en-US" w:eastAsia="zh-CN"/>
        </w:rPr>
        <w:t xml:space="preserve">2.2  </w:t>
      </w:r>
      <w:r>
        <w:rPr>
          <w:rFonts w:hint="eastAsia" w:ascii="黑体" w:hAnsi="黑体" w:eastAsia="黑体" w:cs="宋体"/>
          <w:kern w:val="0"/>
          <w:sz w:val="28"/>
          <w:szCs w:val="28"/>
        </w:rPr>
        <w:t>国内文献综述</w:t>
      </w:r>
      <w:bookmarkEnd w:id="21"/>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国内关于延迟退休对社会养老保险的影响方向的研究开始的比西方国家晚，对不同因素对养老金替代率、个人账户养老金财政负担、养老保险精算平衡等方面的影响都有所探索。对于基本养老金的研究中，国内文献研究热点主要集中在个人账户的测算上，对基础养老金和过渡性养老金的探讨比较少。并且可以看出在精算公式的选取方面没有显著的分歧，主要的测算差异体现在对个人指数化月平均工资等项目的计算上有不同的见解。</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杨再贵和石晨曦（2016）以平行四边形框架的养老金测算为基础用未来法测算个人账户养老金替代率，测算结果显示个人账户养老金替代率低于目标替代率，且存在性别差异</w:t>
      </w:r>
      <w:r>
        <w:rPr>
          <w:rFonts w:hint="eastAsia" w:ascii="宋体" w:hAnsi="宋体"/>
          <w:sz w:val="24"/>
          <w:vertAlign w:val="superscript"/>
        </w:rPr>
        <w:t>[</w:t>
      </w:r>
      <w:r>
        <w:rPr>
          <w:rFonts w:ascii="宋体" w:hAnsi="宋体"/>
          <w:sz w:val="24"/>
          <w:vertAlign w:val="superscript"/>
        </w:rPr>
        <w:t>4]</w:t>
      </w:r>
      <w:r>
        <w:rPr>
          <w:rFonts w:hint="eastAsia" w:ascii="宋体" w:hAnsi="宋体"/>
          <w:sz w:val="24"/>
        </w:rPr>
        <w:t>。袁敏（2016）从个人账户视角出发，对三种延迟退休方案进行测算，认为应该优先延迟女性退休年龄，将男性和女性的退休年龄都延迟到65岁是我国养老保险系统下比较合适的退休方案</w:t>
      </w:r>
      <w:r>
        <w:rPr>
          <w:rFonts w:hint="eastAsia" w:ascii="宋体" w:hAnsi="宋体"/>
          <w:sz w:val="24"/>
          <w:vertAlign w:val="superscript"/>
        </w:rPr>
        <w:t>[</w:t>
      </w:r>
      <w:r>
        <w:rPr>
          <w:rFonts w:ascii="宋体" w:hAnsi="宋体"/>
          <w:sz w:val="24"/>
          <w:vertAlign w:val="superscript"/>
        </w:rPr>
        <w:t>5]</w:t>
      </w:r>
      <w:r>
        <w:rPr>
          <w:rFonts w:hint="eastAsia" w:ascii="宋体" w:hAnsi="宋体"/>
          <w:sz w:val="24"/>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薛惠元等（2020）分别从目标替代率、交叉替代率、终身替代率与平均替代率的方面对城镇职工基本养老金替代率进行测算和比较，发现“标准人”终身替代率低于平均替代率，平均替代率低于目标替代率、交叉替代率，并且指出缴费年限、退休年龄、缴费基数都是养老金替代率的重要影响因子</w:t>
      </w:r>
      <w:r>
        <w:rPr>
          <w:rFonts w:hint="eastAsia" w:ascii="宋体" w:hAnsi="宋体"/>
          <w:sz w:val="24"/>
          <w:vertAlign w:val="superscript"/>
        </w:rPr>
        <w:t>[</w:t>
      </w:r>
      <w:r>
        <w:rPr>
          <w:rFonts w:ascii="宋体" w:hAnsi="宋体"/>
          <w:sz w:val="24"/>
          <w:vertAlign w:val="superscript"/>
        </w:rPr>
        <w:t>6]</w:t>
      </w:r>
      <w:r>
        <w:rPr>
          <w:rFonts w:hint="eastAsia" w:ascii="宋体" w:hAnsi="宋体"/>
          <w:sz w:val="24"/>
        </w:rPr>
        <w:t>。江正发等（2017）通过对基本养老金精算平衡的计算得出要想使城镇职工基本养老保险保持收支平衡需要满足四个约束条件，其中之一要适当延迟职工退休年龄，到2037年达到男、女职工退休年龄分别为65岁和60岁</w:t>
      </w:r>
      <w:r>
        <w:rPr>
          <w:rFonts w:hint="eastAsia" w:ascii="宋体" w:hAnsi="宋体"/>
          <w:sz w:val="24"/>
          <w:vertAlign w:val="superscript"/>
        </w:rPr>
        <w:t>[</w:t>
      </w:r>
      <w:r>
        <w:rPr>
          <w:rFonts w:ascii="宋体" w:hAnsi="宋体"/>
          <w:sz w:val="24"/>
          <w:vertAlign w:val="superscript"/>
        </w:rPr>
        <w:t>7]</w:t>
      </w:r>
      <w:r>
        <w:rPr>
          <w:rFonts w:hint="eastAsia" w:ascii="宋体" w:hAnsi="宋体"/>
          <w:sz w:val="24"/>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国内测算有一个较为普遍的缺陷就是测算过程中计发月数的假设偏低。现有的关于养老金替代率的测算研究都是基于《国务院关于机关事业单位工作人员养老保险制度改革的决定（国发〔2015〕2号）》（下文简称《决定》）中提出的个人账户养老金计发月数表，但是相较于2005年我国平均预期寿命72岁，2020年公布的平均预期寿命已经达到了77.3岁，山东省政府新闻办举办“‘十三五’成就巡礼”主题系列新闻发布会上指出山东省2019年平均预期寿命达到了78.94岁，是故现有的测算普遍存在对计发月数的低估现象，将会导致对养老金替代率的高估。在实际计发中，随着人均预期寿命的延长和死亡率的降低会为政府社会统筹养老金系统带来更大的压力。</w:t>
      </w:r>
    </w:p>
    <w:p>
      <w:pPr>
        <w:keepNext w:val="0"/>
        <w:keepLines w:val="0"/>
        <w:pageBreakBefore w:val="0"/>
        <w:widowControl w:val="0"/>
        <w:kinsoku/>
        <w:wordWrap/>
        <w:overflowPunct/>
        <w:topLinePunct w:val="0"/>
        <w:autoSpaceDE w:val="0"/>
        <w:autoSpaceDN w:val="0"/>
        <w:bidi w:val="0"/>
        <w:adjustRightInd w:val="0"/>
        <w:snapToGrid/>
        <w:spacing w:before="162" w:beforeLines="50" w:after="162" w:afterLines="50"/>
        <w:jc w:val="center"/>
        <w:textAlignment w:val="auto"/>
        <w:outlineLvl w:val="0"/>
        <w:rPr>
          <w:rFonts w:ascii="黑体" w:hAnsi="黑体" w:eastAsia="黑体"/>
          <w:sz w:val="32"/>
          <w:szCs w:val="32"/>
        </w:rPr>
      </w:pPr>
      <w:bookmarkStart w:id="22" w:name="_Toc68789972"/>
      <w:r>
        <w:rPr>
          <w:rFonts w:hint="eastAsia" w:ascii="黑体" w:hAnsi="黑体" w:eastAsia="黑体"/>
          <w:sz w:val="32"/>
          <w:szCs w:val="32"/>
          <w:lang w:val="en-US" w:eastAsia="zh-CN"/>
        </w:rPr>
        <w:t xml:space="preserve">第3章  </w:t>
      </w:r>
      <w:r>
        <w:rPr>
          <w:rFonts w:hint="eastAsia" w:ascii="黑体" w:hAnsi="黑体" w:eastAsia="黑体"/>
          <w:sz w:val="32"/>
          <w:szCs w:val="32"/>
        </w:rPr>
        <w:t>山东省城镇职工养老金现况</w:t>
      </w:r>
      <w:bookmarkEnd w:id="22"/>
    </w:p>
    <w:p>
      <w:pPr>
        <w:spacing w:before="162" w:beforeLines="50" w:after="162" w:afterLines="50"/>
        <w:outlineLvl w:val="1"/>
        <w:rPr>
          <w:rFonts w:ascii="黑体" w:hAnsi="黑体" w:eastAsia="黑体"/>
          <w:sz w:val="28"/>
          <w:szCs w:val="28"/>
        </w:rPr>
      </w:pPr>
      <w:bookmarkStart w:id="23" w:name="_Toc68789973"/>
      <w:r>
        <w:rPr>
          <w:rFonts w:hint="eastAsia" w:ascii="黑体" w:hAnsi="黑体" w:eastAsia="黑体"/>
          <w:sz w:val="28"/>
          <w:szCs w:val="28"/>
          <w:lang w:val="en-US" w:eastAsia="zh-CN"/>
        </w:rPr>
        <w:t xml:space="preserve">3.1  </w:t>
      </w:r>
      <w:r>
        <w:rPr>
          <w:rFonts w:hint="eastAsia" w:ascii="黑体" w:hAnsi="黑体" w:eastAsia="黑体"/>
          <w:sz w:val="28"/>
          <w:szCs w:val="28"/>
        </w:rPr>
        <w:t>山东省养老保险情况概述</w:t>
      </w:r>
      <w:bookmarkEnd w:id="23"/>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如图3-1所示，2014年到2018年山东省城镇职工养老保险发展迅速，根据山东省统计年鉴提供数据，至2018年山东省参加社会养老保险职工有2762.7万人，达到了城镇单位就业总人数3044.7万人中的90.74%，成为了企业单位和事业机关职工退休后的基础保障，为人民的生活保障和经济社会稳定发展做出了巨大贡献。</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但是同时离退休职工比率持续上升也引起了社会的担忧，随着人口老龄化社会发展和人民平均预期寿命的延长，高覆盖率并不一定能够满足养老保险的缺口，同时还要考虑到在当前实施的退休政策下，越来越多的退休职工享有更长的实际计发月数、由于教育周期的延长职工实际缴费年限缩短等问题带给社会统筹养老体系的压力。</w:t>
      </w:r>
    </w:p>
    <w:p>
      <w:pPr>
        <w:autoSpaceDE w:val="0"/>
        <w:autoSpaceDN w:val="0"/>
        <w:adjustRightInd w:val="0"/>
        <w:spacing w:line="300" w:lineRule="auto"/>
        <w:jc w:val="center"/>
        <w:rPr>
          <w:rFonts w:ascii="宋体" w:hAnsi="宋体"/>
          <w:sz w:val="24"/>
        </w:rPr>
      </w:pPr>
      <w:r>
        <w:drawing>
          <wp:inline distT="0" distB="0" distL="0" distR="0">
            <wp:extent cx="4739640" cy="2708275"/>
            <wp:effectExtent l="0" t="0" r="0" b="0"/>
            <wp:docPr id="227"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autoSpaceDE w:val="0"/>
        <w:autoSpaceDN w:val="0"/>
        <w:adjustRightInd w:val="0"/>
        <w:spacing w:before="162" w:beforeLines="50" w:after="162" w:afterLines="50"/>
        <w:jc w:val="center"/>
        <w:rPr>
          <w:rFonts w:hint="eastAsia" w:ascii="宋体" w:hAnsi="宋体" w:eastAsia="宋体" w:cs="宋体"/>
          <w:kern w:val="0"/>
          <w:sz w:val="21"/>
          <w:szCs w:val="21"/>
        </w:rPr>
      </w:pPr>
      <w:r>
        <w:rPr>
          <w:rFonts w:hint="eastAsia" w:ascii="宋体" w:hAnsi="宋体" w:eastAsia="宋体" w:cs="宋体"/>
          <w:kern w:val="0"/>
          <w:sz w:val="21"/>
          <w:szCs w:val="21"/>
        </w:rPr>
        <w:t xml:space="preserve">图3-1 城镇职工养老保险覆盖率及退休职工占比 </w:t>
      </w:r>
      <w:r>
        <w:rPr>
          <w:rFonts w:hint="eastAsia" w:ascii="宋体" w:hAnsi="宋体" w:cs="Courier+ZCLC88-1"/>
          <w:color w:val="FF0000"/>
          <w:kern w:val="0"/>
          <w:szCs w:val="21"/>
        </w:rPr>
        <w:t>(五号</w:t>
      </w:r>
      <w:r>
        <w:rPr>
          <w:rFonts w:hint="eastAsia" w:ascii="宋体" w:hAnsi="宋体" w:cs="Courier+ZCLC88-1"/>
          <w:color w:val="FF0000"/>
          <w:kern w:val="0"/>
          <w:szCs w:val="21"/>
          <w:lang w:eastAsia="zh-CN"/>
        </w:rPr>
        <w:t>，</w:t>
      </w:r>
      <w:r>
        <w:rPr>
          <w:rFonts w:hint="eastAsia" w:ascii="宋体" w:hAnsi="宋体" w:cs="Courier+ZCLC88-1"/>
          <w:color w:val="FF0000"/>
          <w:kern w:val="0"/>
          <w:szCs w:val="21"/>
        </w:rPr>
        <w:t>宋体)</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2005年《山东省完善企业职工基本养老保险制度实施意见的通知》响应了国务院的颁布的《决定》，表明要逐步做实基本养老保险个人账户，将个人缴费率从11%下调至8%，完全由个人缴费构成。2019年14号文件《关于印发山东省降低社会保险费率综合实施方案的通知》中规定自2019年5月1日期城镇职工基本养老保险的单位缴费比例统一下调至16%，企业缴费率从18%降低至16%，事业机关单位缴费率从20%降低至16%。这一举措有效缓解了山东省城镇企业和事业机关单位的缴费压力。</w:t>
      </w:r>
    </w:p>
    <w:p>
      <w:pPr>
        <w:spacing w:before="162" w:beforeLines="50" w:after="162" w:afterLines="50"/>
        <w:outlineLvl w:val="1"/>
        <w:rPr>
          <w:rFonts w:ascii="黑体" w:hAnsi="黑体" w:eastAsia="黑体"/>
          <w:sz w:val="28"/>
          <w:szCs w:val="28"/>
        </w:rPr>
      </w:pPr>
      <w:bookmarkStart w:id="24" w:name="_Toc323033616"/>
      <w:bookmarkStart w:id="25" w:name="_Toc322713639"/>
      <w:bookmarkStart w:id="26" w:name="_Toc322714407"/>
      <w:bookmarkStart w:id="27" w:name="_Toc68789974"/>
      <w:r>
        <w:rPr>
          <w:rFonts w:hint="eastAsia" w:ascii="黑体" w:hAnsi="黑体" w:eastAsia="黑体"/>
          <w:sz w:val="28"/>
          <w:szCs w:val="28"/>
          <w:lang w:val="en-US" w:eastAsia="zh-CN"/>
        </w:rPr>
        <w:t xml:space="preserve">3.2  </w:t>
      </w:r>
      <w:r>
        <w:rPr>
          <w:rFonts w:hint="eastAsia" w:ascii="黑体" w:hAnsi="黑体" w:eastAsia="黑体"/>
          <w:sz w:val="28"/>
          <w:szCs w:val="28"/>
        </w:rPr>
        <w:t>制度赡养率</w:t>
      </w:r>
      <w:bookmarkEnd w:id="24"/>
      <w:bookmarkEnd w:id="25"/>
      <w:bookmarkEnd w:id="26"/>
      <w:bookmarkEnd w:id="2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宋体" w:hAnsi="宋体"/>
          <w:sz w:val="24"/>
        </w:rPr>
        <w:t>制度赡养率是指的参与社会养老保险的离退休职工和在岗职工的比率，可以作为反映社会养老保险系统状态是否理想的一项数值。由下表可以看出山东省参与社会养老保险的在岗职工逐年增长率呈下降趋势，近年来已经低于4%，但是退休职工的增长率的增幅总体显著高于前者，2018年是前者的1.59倍。制度赡养率逐年递增，只有2010年略低于前一年，可以看出在现行的养老保险普及程度和社会对养老保险的依赖状态下，社会养老保险的负担逐年上升。在人口老龄化社会的大背景下，虽然开放了生育政策企图逐步恢复人口红利，但是想让二者追平或者差距缩小在短期内难以实现，相反，目前依然处于差距加大的趋势下。所以山东省的制度赡养率处于上升趋势，不论是政府、单位还是在岗职工个人的养老负担日益加重。为我省维持现有的养老金充足性、可持续性和按时足量发放带来了艰巨的挑战。</w:t>
      </w:r>
      <w:r>
        <w:rPr>
          <w:rFonts w:ascii="宋体" w:hAnsi="宋体"/>
          <w:sz w:val="24"/>
        </w:rPr>
        <w:t>企业营运能力主要指企业营运资产的效率与效益。企业营运资产的效率主要指资产的周转率或周转速度。企业营运资产的效益通常是指企业的产出额与资产占用额之间的比率。企业营运能力分析就是要通过对反映企业资产营运效率与效益的指标进行计算与分析，评价企业的营运能力，为企业提高经济效益指明方向</w:t>
      </w:r>
      <w:r>
        <w:rPr>
          <w:rFonts w:hint="eastAsia" w:ascii="宋体" w:hAnsi="宋体"/>
          <w:sz w:val="24"/>
        </w:rPr>
        <w:t>。</w:t>
      </w:r>
    </w:p>
    <w:p>
      <w:pPr>
        <w:autoSpaceDE w:val="0"/>
        <w:autoSpaceDN w:val="0"/>
        <w:adjustRightInd w:val="0"/>
        <w:spacing w:before="162" w:beforeLines="50" w:after="162" w:afterLines="50"/>
        <w:ind w:firstLine="420" w:firstLineChars="200"/>
        <w:jc w:val="center"/>
        <w:rPr>
          <w:rFonts w:hint="eastAsia" w:ascii="宋体" w:hAnsi="宋体" w:eastAsia="宋体" w:cs="宋体"/>
          <w:kern w:val="0"/>
          <w:sz w:val="21"/>
          <w:szCs w:val="21"/>
        </w:rPr>
      </w:pPr>
      <w:r>
        <w:rPr>
          <w:rFonts w:hint="eastAsia" w:ascii="宋体" w:hAnsi="宋体" w:eastAsia="宋体" w:cs="宋体"/>
          <w:kern w:val="0"/>
          <w:sz w:val="21"/>
          <w:szCs w:val="21"/>
        </w:rPr>
        <w:t>表3-1 山东省历年社会养老保险制度赡养率</w:t>
      </w:r>
      <w:r>
        <w:rPr>
          <w:rFonts w:hint="eastAsia" w:ascii="宋体" w:hAnsi="宋体" w:cs="Courier+ZCLC88-1"/>
          <w:color w:val="FF0000"/>
          <w:kern w:val="0"/>
          <w:szCs w:val="21"/>
        </w:rPr>
        <w:t>(五号</w:t>
      </w:r>
      <w:r>
        <w:rPr>
          <w:rFonts w:hint="eastAsia" w:ascii="宋体" w:hAnsi="宋体" w:cs="Courier+ZCLC88-1"/>
          <w:color w:val="FF0000"/>
          <w:kern w:val="0"/>
          <w:szCs w:val="21"/>
          <w:lang w:eastAsia="zh-CN"/>
        </w:rPr>
        <w:t>，</w:t>
      </w:r>
      <w:r>
        <w:rPr>
          <w:rFonts w:hint="eastAsia" w:ascii="宋体" w:hAnsi="宋体" w:cs="Courier+ZCLC88-1"/>
          <w:color w:val="FF0000"/>
          <w:kern w:val="0"/>
          <w:szCs w:val="21"/>
        </w:rPr>
        <w:t>宋体)</w:t>
      </w:r>
    </w:p>
    <w:tbl>
      <w:tblPr>
        <w:tblStyle w:val="34"/>
        <w:tblW w:w="8784" w:type="dxa"/>
        <w:tblInd w:w="113"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autofit"/>
        <w:tblCellMar>
          <w:top w:w="0" w:type="dxa"/>
          <w:left w:w="108" w:type="dxa"/>
          <w:bottom w:w="0" w:type="dxa"/>
          <w:right w:w="108" w:type="dxa"/>
        </w:tblCellMar>
      </w:tblPr>
      <w:tblGrid>
        <w:gridCol w:w="1040"/>
        <w:gridCol w:w="1660"/>
        <w:gridCol w:w="1123"/>
        <w:gridCol w:w="1275"/>
        <w:gridCol w:w="1134"/>
        <w:gridCol w:w="1276"/>
        <w:gridCol w:w="1276"/>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Ex>
        <w:trPr>
          <w:trHeight w:val="1050" w:hRule="atLeast"/>
        </w:trPr>
        <w:tc>
          <w:tcPr>
            <w:tcW w:w="1040" w:type="dxa"/>
            <w:tcBorders>
              <w:top w:val="single" w:color="auto" w:sz="12" w:space="0"/>
              <w:bottom w:val="single" w:color="auto" w:sz="12" w:space="0"/>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年份</w:t>
            </w:r>
          </w:p>
        </w:tc>
        <w:tc>
          <w:tcPr>
            <w:tcW w:w="1660" w:type="dxa"/>
            <w:tcBorders>
              <w:top w:val="single" w:color="auto" w:sz="12" w:space="0"/>
              <w:left w:val="single" w:color="auto" w:sz="12" w:space="0"/>
              <w:bottom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年末城镇职工参保人数 (万人)</w:t>
            </w:r>
          </w:p>
        </w:tc>
        <w:tc>
          <w:tcPr>
            <w:tcW w:w="1123" w:type="dxa"/>
            <w:tcBorders>
              <w:top w:val="single" w:color="auto" w:sz="12" w:space="0"/>
              <w:bottom w:val="single" w:color="auto" w:sz="12" w:space="0"/>
            </w:tcBorders>
            <w:noWrap/>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参保人数增长率</w:t>
            </w:r>
          </w:p>
        </w:tc>
        <w:tc>
          <w:tcPr>
            <w:tcW w:w="1275" w:type="dxa"/>
            <w:tcBorders>
              <w:top w:val="single" w:color="auto" w:sz="12" w:space="0"/>
              <w:bottom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退休人数</w:t>
            </w:r>
          </w:p>
        </w:tc>
        <w:tc>
          <w:tcPr>
            <w:tcW w:w="1134" w:type="dxa"/>
            <w:tcBorders>
              <w:top w:val="single" w:color="auto" w:sz="12" w:space="0"/>
              <w:bottom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退休人员增长率</w:t>
            </w:r>
          </w:p>
        </w:tc>
        <w:tc>
          <w:tcPr>
            <w:tcW w:w="1276" w:type="dxa"/>
            <w:tcBorders>
              <w:top w:val="single" w:color="auto" w:sz="12" w:space="0"/>
              <w:bottom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增长率比值</w:t>
            </w:r>
          </w:p>
        </w:tc>
        <w:tc>
          <w:tcPr>
            <w:tcW w:w="1276" w:type="dxa"/>
            <w:tcBorders>
              <w:top w:val="single" w:color="auto" w:sz="12" w:space="0"/>
              <w:bottom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制度赡养率</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top w:val="single" w:color="auto" w:sz="12" w:space="0"/>
              <w:right w:val="single" w:color="auto" w:sz="12" w:space="0"/>
            </w:tcBorders>
            <w:vAlign w:val="center"/>
          </w:tcPr>
          <w:p>
            <w:pPr>
              <w:widowControl/>
              <w:jc w:val="center"/>
              <w:rPr>
                <w:rFonts w:ascii="宋体" w:hAnsi="宋体" w:cs="宋体"/>
                <w:b/>
                <w:bCs/>
                <w:kern w:val="0"/>
                <w:sz w:val="20"/>
                <w:szCs w:val="20"/>
              </w:rPr>
            </w:pPr>
            <w:r>
              <w:rPr>
                <w:rFonts w:ascii="宋体" w:hAnsi="宋体" w:cs="宋体"/>
                <w:b/>
                <w:bCs/>
                <w:kern w:val="0"/>
                <w:sz w:val="20"/>
                <w:szCs w:val="20"/>
              </w:rPr>
              <w:t>2007</w:t>
            </w:r>
          </w:p>
        </w:tc>
        <w:tc>
          <w:tcPr>
            <w:tcW w:w="1660" w:type="dxa"/>
            <w:tcBorders>
              <w:top w:val="single" w:color="auto" w:sz="12" w:space="0"/>
              <w:left w:val="single" w:color="auto" w:sz="12" w:space="0"/>
            </w:tcBorders>
            <w:vAlign w:val="center"/>
          </w:tcPr>
          <w:p>
            <w:pPr>
              <w:widowControl/>
              <w:jc w:val="center"/>
              <w:rPr>
                <w:rFonts w:ascii="宋体" w:hAnsi="宋体" w:cs="宋体"/>
                <w:kern w:val="0"/>
                <w:sz w:val="20"/>
                <w:szCs w:val="20"/>
              </w:rPr>
            </w:pPr>
            <w:r>
              <w:rPr>
                <w:rFonts w:ascii="宋体" w:hAnsi="宋体" w:cs="宋体"/>
                <w:kern w:val="0"/>
                <w:sz w:val="20"/>
                <w:szCs w:val="20"/>
              </w:rPr>
              <w:t>1457.00</w:t>
            </w:r>
          </w:p>
        </w:tc>
        <w:tc>
          <w:tcPr>
            <w:tcW w:w="1123" w:type="dxa"/>
            <w:tcBorders>
              <w:top w:val="single" w:color="auto" w:sz="12"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6.51%</w:t>
            </w:r>
          </w:p>
        </w:tc>
        <w:tc>
          <w:tcPr>
            <w:tcW w:w="1275" w:type="dxa"/>
            <w:tcBorders>
              <w:top w:val="single" w:color="auto" w:sz="12"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2722687</w:t>
            </w:r>
          </w:p>
        </w:tc>
        <w:tc>
          <w:tcPr>
            <w:tcW w:w="1134" w:type="dxa"/>
            <w:tcBorders>
              <w:top w:val="single" w:color="auto" w:sz="12"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8.36%</w:t>
            </w:r>
          </w:p>
        </w:tc>
        <w:tc>
          <w:tcPr>
            <w:tcW w:w="1276" w:type="dxa"/>
            <w:tcBorders>
              <w:top w:val="single" w:color="auto" w:sz="12"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128.54%</w:t>
            </w:r>
          </w:p>
        </w:tc>
        <w:tc>
          <w:tcPr>
            <w:tcW w:w="1276" w:type="dxa"/>
            <w:tcBorders>
              <w:top w:val="single" w:color="auto" w:sz="12"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19.36%</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2008</w:t>
            </w:r>
          </w:p>
        </w:tc>
        <w:tc>
          <w:tcPr>
            <w:tcW w:w="1660" w:type="dxa"/>
            <w:tcBorders>
              <w:left w:val="single" w:color="auto" w:sz="12"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1565.80</w:t>
            </w:r>
          </w:p>
        </w:tc>
        <w:tc>
          <w:tcPr>
            <w:tcW w:w="1123" w:type="dxa"/>
            <w:noWrap/>
            <w:vAlign w:val="center"/>
          </w:tcPr>
          <w:p>
            <w:pPr>
              <w:widowControl/>
              <w:jc w:val="center"/>
              <w:rPr>
                <w:rFonts w:ascii="宋体" w:hAnsi="宋体" w:cs="宋体"/>
                <w:kern w:val="0"/>
                <w:sz w:val="20"/>
                <w:szCs w:val="20"/>
              </w:rPr>
            </w:pPr>
            <w:r>
              <w:rPr>
                <w:rFonts w:hint="eastAsia" w:ascii="宋体" w:hAnsi="宋体" w:cs="宋体"/>
                <w:kern w:val="0"/>
                <w:sz w:val="20"/>
                <w:szCs w:val="20"/>
              </w:rPr>
              <w:t>7.47%</w:t>
            </w:r>
          </w:p>
        </w:tc>
        <w:tc>
          <w:tcPr>
            <w:tcW w:w="1275" w:type="dxa"/>
            <w:noWrap/>
            <w:vAlign w:val="center"/>
          </w:tcPr>
          <w:p>
            <w:pPr>
              <w:widowControl/>
              <w:jc w:val="center"/>
              <w:rPr>
                <w:rFonts w:ascii="宋体" w:hAnsi="宋体" w:cs="宋体"/>
                <w:kern w:val="0"/>
                <w:sz w:val="20"/>
                <w:szCs w:val="20"/>
              </w:rPr>
            </w:pPr>
            <w:r>
              <w:rPr>
                <w:rFonts w:hint="eastAsia" w:ascii="宋体" w:hAnsi="宋体" w:cs="宋体"/>
                <w:kern w:val="0"/>
                <w:sz w:val="20"/>
                <w:szCs w:val="20"/>
              </w:rPr>
              <w:t>2956895</w:t>
            </w:r>
          </w:p>
        </w:tc>
        <w:tc>
          <w:tcPr>
            <w:tcW w:w="1134"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8.60%</w:t>
            </w:r>
          </w:p>
        </w:tc>
        <w:tc>
          <w:tcPr>
            <w:tcW w:w="1276"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115.20%</w:t>
            </w:r>
          </w:p>
        </w:tc>
        <w:tc>
          <w:tcPr>
            <w:tcW w:w="1276"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19.48%</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bottom w:val="single" w:color="BFBFBF" w:sz="4" w:space="0"/>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2009</w:t>
            </w:r>
          </w:p>
        </w:tc>
        <w:tc>
          <w:tcPr>
            <w:tcW w:w="1660" w:type="dxa"/>
            <w:tcBorders>
              <w:left w:val="single" w:color="auto" w:sz="12" w:space="0"/>
              <w:bottom w:val="single" w:color="BFBFBF" w:sz="4" w:space="0"/>
            </w:tcBorders>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1661.00</w:t>
            </w:r>
          </w:p>
        </w:tc>
        <w:tc>
          <w:tcPr>
            <w:tcW w:w="1123" w:type="dxa"/>
            <w:tcBorders>
              <w:bottom w:val="single" w:color="BFBFBF"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6.08%</w:t>
            </w:r>
          </w:p>
        </w:tc>
        <w:tc>
          <w:tcPr>
            <w:tcW w:w="1275" w:type="dxa"/>
            <w:tcBorders>
              <w:bottom w:val="single" w:color="BFBFBF"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3171752</w:t>
            </w:r>
          </w:p>
        </w:tc>
        <w:tc>
          <w:tcPr>
            <w:tcW w:w="1134" w:type="dxa"/>
            <w:tcBorders>
              <w:bottom w:val="single" w:color="BFBFBF"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7.27%</w:t>
            </w:r>
          </w:p>
        </w:tc>
        <w:tc>
          <w:tcPr>
            <w:tcW w:w="1276" w:type="dxa"/>
            <w:tcBorders>
              <w:bottom w:val="single" w:color="BFBFBF"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119.51%</w:t>
            </w:r>
          </w:p>
        </w:tc>
        <w:tc>
          <w:tcPr>
            <w:tcW w:w="1276" w:type="dxa"/>
            <w:tcBorders>
              <w:bottom w:val="single" w:color="BFBFBF"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19.63%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bottom w:val="dashed" w:color="auto" w:sz="4" w:space="0"/>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2010</w:t>
            </w:r>
          </w:p>
        </w:tc>
        <w:tc>
          <w:tcPr>
            <w:tcW w:w="1660" w:type="dxa"/>
            <w:tcBorders>
              <w:left w:val="single" w:color="auto" w:sz="12" w:space="0"/>
              <w:bottom w:val="dashed"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1773.00</w:t>
            </w:r>
          </w:p>
        </w:tc>
        <w:tc>
          <w:tcPr>
            <w:tcW w:w="1123" w:type="dxa"/>
            <w:tcBorders>
              <w:bottom w:val="dashed" w:color="auto"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6.74%</w:t>
            </w:r>
          </w:p>
        </w:tc>
        <w:tc>
          <w:tcPr>
            <w:tcW w:w="1275" w:type="dxa"/>
            <w:tcBorders>
              <w:bottom w:val="dashed" w:color="auto"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3370760</w:t>
            </w:r>
          </w:p>
        </w:tc>
        <w:tc>
          <w:tcPr>
            <w:tcW w:w="1134" w:type="dxa"/>
            <w:tcBorders>
              <w:bottom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6.27%</w:t>
            </w:r>
          </w:p>
        </w:tc>
        <w:tc>
          <w:tcPr>
            <w:tcW w:w="1276" w:type="dxa"/>
            <w:tcBorders>
              <w:bottom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93.05%</w:t>
            </w:r>
          </w:p>
        </w:tc>
        <w:tc>
          <w:tcPr>
            <w:tcW w:w="1276" w:type="dxa"/>
            <w:tcBorders>
              <w:bottom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19.46%</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top w:val="dashed" w:color="auto" w:sz="4" w:space="0"/>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2011</w:t>
            </w:r>
          </w:p>
        </w:tc>
        <w:tc>
          <w:tcPr>
            <w:tcW w:w="1660" w:type="dxa"/>
            <w:tcBorders>
              <w:top w:val="dashed" w:color="auto" w:sz="4" w:space="0"/>
              <w:left w:val="single" w:color="auto" w:sz="12"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1907.10</w:t>
            </w:r>
          </w:p>
        </w:tc>
        <w:tc>
          <w:tcPr>
            <w:tcW w:w="1123" w:type="dxa"/>
            <w:tcBorders>
              <w:top w:val="dashed" w:color="auto"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7.56%</w:t>
            </w:r>
          </w:p>
        </w:tc>
        <w:tc>
          <w:tcPr>
            <w:tcW w:w="1275" w:type="dxa"/>
            <w:tcBorders>
              <w:top w:val="dashed" w:color="auto"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3623657</w:t>
            </w:r>
          </w:p>
        </w:tc>
        <w:tc>
          <w:tcPr>
            <w:tcW w:w="1134" w:type="dxa"/>
            <w:tcBorders>
              <w:top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7.50%</w:t>
            </w:r>
          </w:p>
        </w:tc>
        <w:tc>
          <w:tcPr>
            <w:tcW w:w="1276" w:type="dxa"/>
            <w:tcBorders>
              <w:top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99.20%</w:t>
            </w:r>
          </w:p>
        </w:tc>
        <w:tc>
          <w:tcPr>
            <w:tcW w:w="1276" w:type="dxa"/>
            <w:tcBorders>
              <w:top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19.56%</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2012</w:t>
            </w:r>
          </w:p>
        </w:tc>
        <w:tc>
          <w:tcPr>
            <w:tcW w:w="1660" w:type="dxa"/>
            <w:tcBorders>
              <w:left w:val="single" w:color="auto" w:sz="12"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2063.20</w:t>
            </w:r>
          </w:p>
        </w:tc>
        <w:tc>
          <w:tcPr>
            <w:tcW w:w="1123" w:type="dxa"/>
            <w:noWrap/>
            <w:vAlign w:val="center"/>
          </w:tcPr>
          <w:p>
            <w:pPr>
              <w:widowControl/>
              <w:jc w:val="center"/>
              <w:rPr>
                <w:rFonts w:ascii="宋体" w:hAnsi="宋体" w:cs="宋体"/>
                <w:kern w:val="0"/>
                <w:sz w:val="20"/>
                <w:szCs w:val="20"/>
              </w:rPr>
            </w:pPr>
            <w:r>
              <w:rPr>
                <w:rFonts w:hint="eastAsia" w:ascii="宋体" w:hAnsi="宋体" w:cs="宋体"/>
                <w:kern w:val="0"/>
                <w:sz w:val="20"/>
                <w:szCs w:val="20"/>
              </w:rPr>
              <w:t>8.19%</w:t>
            </w:r>
          </w:p>
        </w:tc>
        <w:tc>
          <w:tcPr>
            <w:tcW w:w="1275" w:type="dxa"/>
            <w:noWrap/>
            <w:vAlign w:val="center"/>
          </w:tcPr>
          <w:p>
            <w:pPr>
              <w:widowControl/>
              <w:jc w:val="center"/>
              <w:rPr>
                <w:rFonts w:ascii="宋体" w:hAnsi="宋体" w:cs="宋体"/>
                <w:kern w:val="0"/>
                <w:sz w:val="20"/>
                <w:szCs w:val="20"/>
              </w:rPr>
            </w:pPr>
            <w:r>
              <w:rPr>
                <w:rFonts w:hint="eastAsia" w:ascii="宋体" w:hAnsi="宋体" w:cs="宋体"/>
                <w:kern w:val="0"/>
                <w:sz w:val="20"/>
                <w:szCs w:val="20"/>
              </w:rPr>
              <w:t>4058431</w:t>
            </w:r>
          </w:p>
        </w:tc>
        <w:tc>
          <w:tcPr>
            <w:tcW w:w="1134"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12.00%</w:t>
            </w:r>
          </w:p>
        </w:tc>
        <w:tc>
          <w:tcPr>
            <w:tcW w:w="1276"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146.58%</w:t>
            </w:r>
          </w:p>
        </w:tc>
        <w:tc>
          <w:tcPr>
            <w:tcW w:w="1276"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20.18%</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bottom w:val="single" w:color="BFBFBF" w:sz="4" w:space="0"/>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2013</w:t>
            </w:r>
          </w:p>
        </w:tc>
        <w:tc>
          <w:tcPr>
            <w:tcW w:w="1660" w:type="dxa"/>
            <w:tcBorders>
              <w:left w:val="single" w:color="auto" w:sz="12" w:space="0"/>
              <w:bottom w:val="single" w:color="BFBFBF"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2259.60</w:t>
            </w:r>
          </w:p>
        </w:tc>
        <w:tc>
          <w:tcPr>
            <w:tcW w:w="1123" w:type="dxa"/>
            <w:tcBorders>
              <w:bottom w:val="single" w:color="BFBFBF"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9.52%</w:t>
            </w:r>
          </w:p>
        </w:tc>
        <w:tc>
          <w:tcPr>
            <w:tcW w:w="1275" w:type="dxa"/>
            <w:tcBorders>
              <w:bottom w:val="single" w:color="BFBFBF"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4492295</w:t>
            </w:r>
          </w:p>
        </w:tc>
        <w:tc>
          <w:tcPr>
            <w:tcW w:w="1134" w:type="dxa"/>
            <w:tcBorders>
              <w:bottom w:val="single" w:color="BFBFBF"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10.69%</w:t>
            </w:r>
          </w:p>
        </w:tc>
        <w:tc>
          <w:tcPr>
            <w:tcW w:w="1276" w:type="dxa"/>
            <w:tcBorders>
              <w:bottom w:val="single" w:color="BFBFBF"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112.30%</w:t>
            </w:r>
          </w:p>
        </w:tc>
        <w:tc>
          <w:tcPr>
            <w:tcW w:w="1276" w:type="dxa"/>
            <w:tcBorders>
              <w:bottom w:val="single" w:color="BFBFBF"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20.32%</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bottom w:val="dashed" w:color="auto" w:sz="4" w:space="0"/>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2014</w:t>
            </w:r>
          </w:p>
        </w:tc>
        <w:tc>
          <w:tcPr>
            <w:tcW w:w="1660" w:type="dxa"/>
            <w:tcBorders>
              <w:left w:val="single" w:color="auto" w:sz="12" w:space="0"/>
              <w:bottom w:val="dashed" w:color="auto" w:sz="4"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2370.20</w:t>
            </w:r>
          </w:p>
        </w:tc>
        <w:tc>
          <w:tcPr>
            <w:tcW w:w="1123" w:type="dxa"/>
            <w:tcBorders>
              <w:bottom w:val="dashed" w:color="auto"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4.89%</w:t>
            </w:r>
          </w:p>
        </w:tc>
        <w:tc>
          <w:tcPr>
            <w:tcW w:w="1275" w:type="dxa"/>
            <w:tcBorders>
              <w:bottom w:val="dashed" w:color="auto"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5020415</w:t>
            </w:r>
          </w:p>
        </w:tc>
        <w:tc>
          <w:tcPr>
            <w:tcW w:w="1134" w:type="dxa"/>
            <w:tcBorders>
              <w:bottom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11.76%</w:t>
            </w:r>
          </w:p>
        </w:tc>
        <w:tc>
          <w:tcPr>
            <w:tcW w:w="1276" w:type="dxa"/>
            <w:tcBorders>
              <w:bottom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240.18%</w:t>
            </w:r>
          </w:p>
        </w:tc>
        <w:tc>
          <w:tcPr>
            <w:tcW w:w="1276" w:type="dxa"/>
            <w:tcBorders>
              <w:bottom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21.58%</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top w:val="dashed" w:color="auto" w:sz="4" w:space="0"/>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2015</w:t>
            </w:r>
          </w:p>
        </w:tc>
        <w:tc>
          <w:tcPr>
            <w:tcW w:w="1660" w:type="dxa"/>
            <w:tcBorders>
              <w:top w:val="dashed" w:color="auto" w:sz="4" w:space="0"/>
              <w:left w:val="single" w:color="auto" w:sz="12"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2477.50</w:t>
            </w:r>
          </w:p>
        </w:tc>
        <w:tc>
          <w:tcPr>
            <w:tcW w:w="1123" w:type="dxa"/>
            <w:tcBorders>
              <w:top w:val="dashed" w:color="auto"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4.53%</w:t>
            </w:r>
          </w:p>
        </w:tc>
        <w:tc>
          <w:tcPr>
            <w:tcW w:w="1275" w:type="dxa"/>
            <w:tcBorders>
              <w:top w:val="dashed" w:color="auto" w:sz="4"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5454932</w:t>
            </w:r>
          </w:p>
        </w:tc>
        <w:tc>
          <w:tcPr>
            <w:tcW w:w="1134" w:type="dxa"/>
            <w:tcBorders>
              <w:top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8.66%</w:t>
            </w:r>
          </w:p>
        </w:tc>
        <w:tc>
          <w:tcPr>
            <w:tcW w:w="1276" w:type="dxa"/>
            <w:tcBorders>
              <w:top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191.18%</w:t>
            </w:r>
          </w:p>
        </w:tc>
        <w:tc>
          <w:tcPr>
            <w:tcW w:w="1276" w:type="dxa"/>
            <w:tcBorders>
              <w:top w:val="dashed" w:color="auto" w:sz="4"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22.38%</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2016</w:t>
            </w:r>
          </w:p>
        </w:tc>
        <w:tc>
          <w:tcPr>
            <w:tcW w:w="1660" w:type="dxa"/>
            <w:tcBorders>
              <w:left w:val="single" w:color="auto" w:sz="12"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2576.40</w:t>
            </w:r>
          </w:p>
        </w:tc>
        <w:tc>
          <w:tcPr>
            <w:tcW w:w="1123" w:type="dxa"/>
            <w:noWrap/>
            <w:vAlign w:val="center"/>
          </w:tcPr>
          <w:p>
            <w:pPr>
              <w:widowControl/>
              <w:jc w:val="center"/>
              <w:rPr>
                <w:rFonts w:ascii="宋体" w:hAnsi="宋体" w:cs="宋体"/>
                <w:kern w:val="0"/>
                <w:sz w:val="20"/>
                <w:szCs w:val="20"/>
              </w:rPr>
            </w:pPr>
            <w:r>
              <w:rPr>
                <w:rFonts w:hint="eastAsia" w:ascii="宋体" w:hAnsi="宋体" w:cs="宋体"/>
                <w:kern w:val="0"/>
                <w:sz w:val="20"/>
                <w:szCs w:val="20"/>
              </w:rPr>
              <w:t>3.99%</w:t>
            </w:r>
          </w:p>
        </w:tc>
        <w:tc>
          <w:tcPr>
            <w:tcW w:w="1275" w:type="dxa"/>
            <w:noWrap/>
            <w:vAlign w:val="center"/>
          </w:tcPr>
          <w:p>
            <w:pPr>
              <w:widowControl/>
              <w:jc w:val="center"/>
              <w:rPr>
                <w:rFonts w:ascii="宋体" w:hAnsi="宋体" w:cs="宋体"/>
                <w:kern w:val="0"/>
                <w:sz w:val="20"/>
                <w:szCs w:val="20"/>
              </w:rPr>
            </w:pPr>
            <w:r>
              <w:rPr>
                <w:rFonts w:hint="eastAsia" w:ascii="宋体" w:hAnsi="宋体" w:cs="宋体"/>
                <w:kern w:val="0"/>
                <w:sz w:val="20"/>
                <w:szCs w:val="20"/>
              </w:rPr>
              <w:t>6008374</w:t>
            </w:r>
          </w:p>
        </w:tc>
        <w:tc>
          <w:tcPr>
            <w:tcW w:w="1134"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10.15%</w:t>
            </w:r>
          </w:p>
        </w:tc>
        <w:tc>
          <w:tcPr>
            <w:tcW w:w="1276"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254.16%</w:t>
            </w:r>
          </w:p>
        </w:tc>
        <w:tc>
          <w:tcPr>
            <w:tcW w:w="1276"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23.58%</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2017</w:t>
            </w:r>
          </w:p>
        </w:tc>
        <w:tc>
          <w:tcPr>
            <w:tcW w:w="1660" w:type="dxa"/>
            <w:tcBorders>
              <w:left w:val="single" w:color="auto" w:sz="12"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2660.90</w:t>
            </w:r>
          </w:p>
        </w:tc>
        <w:tc>
          <w:tcPr>
            <w:tcW w:w="1123" w:type="dxa"/>
            <w:noWrap/>
            <w:vAlign w:val="center"/>
          </w:tcPr>
          <w:p>
            <w:pPr>
              <w:widowControl/>
              <w:jc w:val="center"/>
              <w:rPr>
                <w:rFonts w:ascii="宋体" w:hAnsi="宋体" w:cs="宋体"/>
                <w:kern w:val="0"/>
                <w:sz w:val="20"/>
                <w:szCs w:val="20"/>
              </w:rPr>
            </w:pPr>
            <w:r>
              <w:rPr>
                <w:rFonts w:hint="eastAsia" w:ascii="宋体" w:hAnsi="宋体" w:cs="宋体"/>
                <w:kern w:val="0"/>
                <w:sz w:val="20"/>
                <w:szCs w:val="20"/>
              </w:rPr>
              <w:t>3.28%</w:t>
            </w:r>
          </w:p>
        </w:tc>
        <w:tc>
          <w:tcPr>
            <w:tcW w:w="1275" w:type="dxa"/>
            <w:noWrap/>
            <w:vAlign w:val="center"/>
          </w:tcPr>
          <w:p>
            <w:pPr>
              <w:widowControl/>
              <w:jc w:val="center"/>
              <w:rPr>
                <w:rFonts w:ascii="宋体" w:hAnsi="宋体" w:cs="宋体"/>
                <w:kern w:val="0"/>
                <w:sz w:val="20"/>
                <w:szCs w:val="20"/>
              </w:rPr>
            </w:pPr>
            <w:r>
              <w:rPr>
                <w:rFonts w:hint="eastAsia" w:ascii="宋体" w:hAnsi="宋体" w:cs="宋体"/>
                <w:kern w:val="0"/>
                <w:sz w:val="20"/>
                <w:szCs w:val="20"/>
              </w:rPr>
              <w:t>6330627</w:t>
            </w:r>
          </w:p>
        </w:tc>
        <w:tc>
          <w:tcPr>
            <w:tcW w:w="1134"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5.36%</w:t>
            </w:r>
          </w:p>
        </w:tc>
        <w:tc>
          <w:tcPr>
            <w:tcW w:w="1276"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163.53%</w:t>
            </w:r>
          </w:p>
        </w:tc>
        <w:tc>
          <w:tcPr>
            <w:tcW w:w="1276" w:type="dxa"/>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24.01%</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280" w:hRule="atLeast"/>
        </w:trPr>
        <w:tc>
          <w:tcPr>
            <w:tcW w:w="1040" w:type="dxa"/>
            <w:tcBorders>
              <w:bottom w:val="single" w:color="auto" w:sz="12" w:space="0"/>
              <w:right w:val="single" w:color="auto" w:sz="12" w:space="0"/>
            </w:tcBorders>
            <w:vAlign w:val="center"/>
          </w:tcPr>
          <w:p>
            <w:pPr>
              <w:widowControl/>
              <w:jc w:val="center"/>
              <w:rPr>
                <w:rFonts w:ascii="宋体" w:hAnsi="宋体" w:cs="宋体"/>
                <w:b/>
                <w:bCs/>
                <w:kern w:val="0"/>
                <w:sz w:val="20"/>
                <w:szCs w:val="20"/>
              </w:rPr>
            </w:pPr>
            <w:r>
              <w:rPr>
                <w:rFonts w:hint="eastAsia" w:ascii="宋体" w:hAnsi="宋体" w:cs="宋体"/>
                <w:b/>
                <w:bCs/>
                <w:kern w:val="0"/>
                <w:sz w:val="20"/>
                <w:szCs w:val="20"/>
              </w:rPr>
              <w:t>2018</w:t>
            </w:r>
          </w:p>
        </w:tc>
        <w:tc>
          <w:tcPr>
            <w:tcW w:w="1660" w:type="dxa"/>
            <w:tcBorders>
              <w:left w:val="single" w:color="auto" w:sz="12" w:space="0"/>
              <w:bottom w:val="single" w:color="auto" w:sz="12" w:space="0"/>
            </w:tcBorders>
            <w:vAlign w:val="center"/>
          </w:tcPr>
          <w:p>
            <w:pPr>
              <w:widowControl/>
              <w:jc w:val="center"/>
              <w:rPr>
                <w:rFonts w:ascii="宋体" w:hAnsi="宋体" w:cs="宋体"/>
                <w:kern w:val="0"/>
                <w:sz w:val="20"/>
                <w:szCs w:val="20"/>
              </w:rPr>
            </w:pPr>
            <w:r>
              <w:rPr>
                <w:rFonts w:hint="eastAsia" w:ascii="宋体" w:hAnsi="宋体" w:cs="宋体"/>
                <w:kern w:val="0"/>
                <w:sz w:val="20"/>
                <w:szCs w:val="20"/>
              </w:rPr>
              <w:t>2762.70</w:t>
            </w:r>
          </w:p>
        </w:tc>
        <w:tc>
          <w:tcPr>
            <w:tcW w:w="1123" w:type="dxa"/>
            <w:tcBorders>
              <w:bottom w:val="single" w:color="auto" w:sz="12"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3.83%</w:t>
            </w:r>
          </w:p>
        </w:tc>
        <w:tc>
          <w:tcPr>
            <w:tcW w:w="1275" w:type="dxa"/>
            <w:tcBorders>
              <w:bottom w:val="single" w:color="auto" w:sz="12" w:space="0"/>
            </w:tcBorders>
            <w:noWrap/>
            <w:vAlign w:val="center"/>
          </w:tcPr>
          <w:p>
            <w:pPr>
              <w:widowControl/>
              <w:jc w:val="center"/>
              <w:rPr>
                <w:rFonts w:ascii="宋体" w:hAnsi="宋体" w:cs="宋体"/>
                <w:kern w:val="0"/>
                <w:sz w:val="20"/>
                <w:szCs w:val="20"/>
              </w:rPr>
            </w:pPr>
            <w:r>
              <w:rPr>
                <w:rFonts w:hint="eastAsia" w:ascii="宋体" w:hAnsi="宋体" w:cs="宋体"/>
                <w:kern w:val="0"/>
                <w:sz w:val="20"/>
                <w:szCs w:val="20"/>
              </w:rPr>
              <w:t>6715388</w:t>
            </w:r>
          </w:p>
        </w:tc>
        <w:tc>
          <w:tcPr>
            <w:tcW w:w="1134" w:type="dxa"/>
            <w:tcBorders>
              <w:bottom w:val="single" w:color="auto" w:sz="12"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6.08%</w:t>
            </w:r>
          </w:p>
        </w:tc>
        <w:tc>
          <w:tcPr>
            <w:tcW w:w="1276" w:type="dxa"/>
            <w:tcBorders>
              <w:bottom w:val="single" w:color="auto" w:sz="12"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158.86%</w:t>
            </w:r>
          </w:p>
        </w:tc>
        <w:tc>
          <w:tcPr>
            <w:tcW w:w="1276" w:type="dxa"/>
            <w:tcBorders>
              <w:bottom w:val="single" w:color="auto" w:sz="12" w:space="0"/>
            </w:tcBorders>
            <w:vAlign w:val="center"/>
          </w:tcPr>
          <w:p>
            <w:pPr>
              <w:widowControl/>
              <w:jc w:val="center"/>
              <w:rPr>
                <w:rFonts w:ascii="Times New Roman" w:hAnsi="Times New Roman" w:eastAsia="等线"/>
                <w:kern w:val="0"/>
                <w:sz w:val="20"/>
                <w:szCs w:val="20"/>
              </w:rPr>
            </w:pPr>
            <w:r>
              <w:rPr>
                <w:rFonts w:ascii="Times New Roman" w:hAnsi="Times New Roman" w:eastAsia="等线"/>
                <w:kern w:val="0"/>
                <w:sz w:val="20"/>
                <w:szCs w:val="20"/>
              </w:rPr>
              <w:t>24.51%</w:t>
            </w:r>
          </w:p>
        </w:tc>
      </w:tr>
    </w:tbl>
    <w:p>
      <w:pPr>
        <w:autoSpaceDE w:val="0"/>
        <w:autoSpaceDN w:val="0"/>
        <w:adjustRightInd w:val="0"/>
        <w:ind w:firstLine="420" w:firstLineChars="200"/>
        <w:rPr>
          <w:rFonts w:ascii="宋体" w:hAnsi="宋体" w:cs="Courier+ZCLC88-1"/>
          <w:color w:val="FF0000"/>
          <w:kern w:val="0"/>
          <w:szCs w:val="21"/>
        </w:rPr>
      </w:pPr>
      <w:r>
        <w:rPr>
          <w:rFonts w:hint="eastAsia" w:ascii="宋体" w:hAnsi="宋体" w:cs="Courier+ZCLC88-1"/>
          <w:color w:val="000000"/>
          <w:kern w:val="0"/>
          <w:szCs w:val="21"/>
        </w:rPr>
        <w:t>数据来源：《山东省统计年鉴2</w:t>
      </w:r>
      <w:r>
        <w:rPr>
          <w:rFonts w:ascii="宋体" w:hAnsi="宋体" w:cs="Courier+ZCLC88-1"/>
          <w:color w:val="000000"/>
          <w:kern w:val="0"/>
          <w:szCs w:val="21"/>
        </w:rPr>
        <w:t>019</w:t>
      </w:r>
      <w:r>
        <w:rPr>
          <w:rFonts w:hint="eastAsia" w:ascii="宋体" w:hAnsi="宋体" w:cs="Courier+ZCLC88-1"/>
          <w:color w:val="000000"/>
          <w:kern w:val="0"/>
          <w:szCs w:val="21"/>
        </w:rPr>
        <w:t xml:space="preserve">》 </w:t>
      </w:r>
      <w:r>
        <w:rPr>
          <w:rFonts w:hint="eastAsia" w:ascii="宋体" w:hAnsi="宋体" w:cs="Courier+ZCLC88-1"/>
          <w:color w:val="FF0000"/>
          <w:kern w:val="0"/>
          <w:szCs w:val="21"/>
        </w:rPr>
        <w:t>(注解为五号宋体)</w:t>
      </w:r>
    </w:p>
    <w:p>
      <w:pPr>
        <w:spacing w:before="162" w:beforeLines="50" w:after="162" w:afterLines="50"/>
        <w:outlineLvl w:val="1"/>
        <w:rPr>
          <w:rFonts w:ascii="黑体" w:hAnsi="黑体" w:eastAsia="黑体"/>
          <w:sz w:val="28"/>
          <w:szCs w:val="28"/>
        </w:rPr>
      </w:pPr>
      <w:bookmarkStart w:id="28" w:name="_Toc68789975"/>
      <w:r>
        <w:rPr>
          <w:rFonts w:hint="eastAsia" w:ascii="黑体" w:hAnsi="黑体" w:eastAsia="黑体"/>
          <w:sz w:val="28"/>
          <w:szCs w:val="28"/>
          <w:lang w:val="en-US" w:eastAsia="zh-CN"/>
        </w:rPr>
        <w:t xml:space="preserve">3.3  </w:t>
      </w:r>
      <w:r>
        <w:rPr>
          <w:rFonts w:hint="eastAsia" w:ascii="黑体" w:hAnsi="黑体" w:eastAsia="黑体"/>
          <w:sz w:val="28"/>
          <w:szCs w:val="28"/>
        </w:rPr>
        <w:t>山东省各市城镇职工养老金替代率比较分析</w:t>
      </w:r>
      <w:bookmarkEnd w:id="28"/>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宋体" w:hAnsi="宋体"/>
          <w:sz w:val="24"/>
        </w:rPr>
        <w:t>各个省之间、省内部之间都存在着发展不均衡的现象，即使是一个省内的各个市的人口、经济发展、制度完善等情况都不均衡，因而各个市之间的城镇职工养老金替代率可能会存在一定程度的差异，为了较好的比较其中的差异并从养老金替代率的角度分析山东省各市之间养老金体系的发展情况，本部分内容从离休、退休人员保险福利费用、离退休人员数和城镇单位在岗职工平均工资等数据，计算相应的养老金平均替代率。计算公式如下：</w:t>
      </w:r>
    </w:p>
    <w:p>
      <w:pPr>
        <w:ind w:firstLine="480"/>
        <w:jc w:val="center"/>
        <w:rPr>
          <w:rFonts w:ascii="宋体" w:hAnsi="宋体"/>
          <w:sz w:val="24"/>
        </w:rPr>
      </w:pPr>
      <w:bookmarkStart w:id="29" w:name="_Hlk68784174"/>
      <m:oMathPara>
        <m:oMath>
          <m:r>
            <m:rPr>
              <m:sty m:val="p"/>
            </m:rPr>
            <w:rPr>
              <w:rFonts w:hint="eastAsia" w:ascii="Cambria Math" w:hAnsi="Cambria Math"/>
              <w:sz w:val="24"/>
            </w:rPr>
            <m:t>人均养老金=</m:t>
          </m:r>
          <m:f>
            <m:fPr>
              <m:ctrlPr>
                <w:rPr>
                  <w:rFonts w:ascii="Cambria Math" w:hAnsi="Cambria Math"/>
                  <w:sz w:val="24"/>
                </w:rPr>
              </m:ctrlPr>
            </m:fPr>
            <m:num>
              <m:r>
                <m:rPr>
                  <m:sty m:val="p"/>
                </m:rPr>
                <w:rPr>
                  <w:rFonts w:hint="eastAsia" w:ascii="Cambria Math" w:hAnsi="Cambria Math"/>
                  <w:sz w:val="24"/>
                </w:rPr>
                <m:t>退休人员养老保险金</m:t>
              </m:r>
              <m:ctrlPr>
                <w:rPr>
                  <w:rFonts w:ascii="Cambria Math" w:hAnsi="Cambria Math"/>
                  <w:sz w:val="24"/>
                </w:rPr>
              </m:ctrlPr>
            </m:num>
            <m:den>
              <m:r>
                <m:rPr>
                  <m:sty m:val="p"/>
                </m:rPr>
                <w:rPr>
                  <w:rFonts w:hint="eastAsia" w:ascii="Cambria Math" w:hAnsi="Cambria Math"/>
                  <w:sz w:val="24"/>
                </w:rPr>
                <m:t>退休人员数</m:t>
              </m:r>
              <m:ctrlPr>
                <w:rPr>
                  <w:rFonts w:ascii="Cambria Math" w:hAnsi="Cambria Math"/>
                  <w:sz w:val="24"/>
                </w:rPr>
              </m:ctrlPr>
            </m:den>
          </m:f>
        </m:oMath>
      </m:oMathPara>
    </w:p>
    <w:bookmarkEnd w:id="29"/>
    <w:p>
      <w:pPr>
        <w:ind w:firstLine="480"/>
        <w:jc w:val="center"/>
        <w:rPr>
          <w:rFonts w:ascii="宋体" w:hAnsi="宋体"/>
          <w:sz w:val="24"/>
        </w:rPr>
      </w:pPr>
      <m:oMathPara>
        <m:oMath>
          <m:r>
            <m:rPr>
              <m:sty m:val="p"/>
            </m:rPr>
            <w:rPr>
              <w:rFonts w:hint="eastAsia" w:ascii="Cambria Math" w:hAnsi="Cambria Math"/>
              <w:sz w:val="24"/>
            </w:rPr>
            <m:t>平均养老金替代率=</m:t>
          </m:r>
          <m:f>
            <m:fPr>
              <m:ctrlPr>
                <w:rPr>
                  <w:rFonts w:ascii="Cambria Math" w:hAnsi="Cambria Math"/>
                  <w:sz w:val="24"/>
                </w:rPr>
              </m:ctrlPr>
            </m:fPr>
            <m:num>
              <m:r>
                <m:rPr>
                  <m:sty m:val="p"/>
                </m:rPr>
                <w:rPr>
                  <w:rFonts w:hint="eastAsia" w:ascii="Cambria Math" w:hAnsi="Cambria Math"/>
                  <w:sz w:val="24"/>
                </w:rPr>
                <m:t>人均养老金</m:t>
              </m:r>
              <m:ctrlPr>
                <w:rPr>
                  <w:rFonts w:ascii="Cambria Math" w:hAnsi="Cambria Math"/>
                  <w:sz w:val="24"/>
                </w:rPr>
              </m:ctrlPr>
            </m:num>
            <m:den>
              <m:r>
                <m:rPr>
                  <m:sty m:val="p"/>
                </m:rPr>
                <w:rPr>
                  <w:rFonts w:hint="eastAsia" w:ascii="Cambria Math" w:hAnsi="Cambria Math"/>
                  <w:sz w:val="24"/>
                </w:rPr>
                <m:t>城镇单位在岗职工平均工资</m:t>
              </m:r>
              <m:ctrlPr>
                <w:rPr>
                  <w:rFonts w:ascii="Cambria Math" w:hAnsi="Cambria Math"/>
                  <w:sz w:val="24"/>
                </w:rPr>
              </m:ctrlPr>
            </m:den>
          </m:f>
          <m:r>
            <m:rPr>
              <m:sty m:val="p"/>
            </m:rPr>
            <w:rPr>
              <w:rFonts w:ascii="Cambria Math" w:hAnsi="Cambria Math"/>
              <w:sz w:val="24"/>
            </w:rPr>
            <m:t>×100</m:t>
          </m:r>
          <m:r>
            <m:rPr>
              <m:sty m:val="p"/>
            </m:rPr>
            <w:rPr>
              <w:rFonts w:hint="eastAsia" w:ascii="Cambria Math" w:hAnsi="Cambria Math"/>
              <w:sz w:val="24"/>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iCs/>
          <w:sz w:val="24"/>
          <w:szCs w:val="24"/>
        </w:rPr>
      </w:pPr>
      <w:r>
        <w:rPr>
          <w:rFonts w:hint="eastAsia" w:ascii="宋体" w:hAnsi="宋体"/>
          <w:sz w:val="24"/>
          <w:szCs w:val="24"/>
        </w:rPr>
        <w:t>其中关于养老金参数的选取方面，在杨建康（2019）的全国城镇职工养老金替代率测算中曾对各地区养老金替代率做出分析，分析中使用总基金支出作为人均养老金的计算基准，本文选择用各市退休人员养老金作为衡量标准。其一是因为山东统计局并未分别给出各市的基金支出；另一方面，参考国家统计局对基本养老保险基金支出的划分，指按照国家政策规定的开支范围和开支标准从养老保险基金中支付给参加基本养老保险的离休、退休、退职人员个人的养老金、丧葬抚恤补助，以及由于保险关系转移、上下级之间调剂资金等原因而发生的支出，必然在一定程度上高估了养老金替代率。出于更直观、更实用的考虑，此处采用了退休人员保险福利费用替换基本养老保险基金支出。盈利能力是指企业获取利润的能力。利润是企业内外有关各方都关心的中心问题、利润是投资者取得投资收益、债权人收取本息的资金来源，是经营者经营业绩和管理效能的集中表现，也是职工集体福利设施不断完善的重要保障。因此企业盈利能力分析十分重要。</w:t>
      </w:r>
      <w:bookmarkStart w:id="30" w:name="_Hlk68784497"/>
    </w:p>
    <w:bookmarkEnd w:id="30"/>
    <w:p>
      <w:pPr>
        <w:autoSpaceDE w:val="0"/>
        <w:autoSpaceDN w:val="0"/>
        <w:adjustRightInd w:val="0"/>
        <w:spacing w:before="162" w:beforeLines="50" w:after="162" w:afterLines="50"/>
        <w:ind w:firstLine="420" w:firstLineChars="200"/>
        <w:jc w:val="center"/>
        <w:rPr>
          <w:rFonts w:ascii="楷体_GB2312" w:hAnsi="宋体" w:eastAsia="楷体_GB2312" w:cs="AdobeSongStd-Light"/>
          <w:kern w:val="0"/>
          <w:sz w:val="24"/>
        </w:rPr>
      </w:pPr>
      <w:r>
        <w:rPr>
          <w:rFonts w:hint="eastAsia" w:ascii="宋体" w:hAnsi="宋体" w:eastAsia="宋体" w:cs="宋体"/>
          <w:kern w:val="0"/>
          <w:sz w:val="21"/>
          <w:szCs w:val="21"/>
        </w:rPr>
        <w:t>表3-2 山东省各市城镇职工基本养老保险替代率情况（2018年）</w:t>
      </w:r>
      <w:r>
        <w:rPr>
          <w:rFonts w:hint="eastAsia" w:ascii="宋体" w:hAnsi="宋体" w:cs="Courier+ZCLC88-1"/>
          <w:color w:val="FF0000"/>
          <w:kern w:val="0"/>
          <w:szCs w:val="21"/>
        </w:rPr>
        <w:t>(五号</w:t>
      </w:r>
      <w:r>
        <w:rPr>
          <w:rFonts w:hint="eastAsia" w:ascii="宋体" w:hAnsi="宋体" w:cs="Courier+ZCLC88-1"/>
          <w:color w:val="FF0000"/>
          <w:kern w:val="0"/>
          <w:szCs w:val="21"/>
          <w:lang w:eastAsia="zh-CN"/>
        </w:rPr>
        <w:t>，</w:t>
      </w:r>
      <w:r>
        <w:rPr>
          <w:rFonts w:hint="eastAsia" w:ascii="宋体" w:hAnsi="宋体" w:cs="Courier+ZCLC88-1"/>
          <w:color w:val="FF0000"/>
          <w:kern w:val="0"/>
          <w:szCs w:val="21"/>
        </w:rPr>
        <w:t>宋体)</w:t>
      </w:r>
    </w:p>
    <w:tbl>
      <w:tblPr>
        <w:tblStyle w:val="14"/>
        <w:tblpPr w:leftFromText="180" w:rightFromText="180" w:vertAnchor="text" w:horzAnchor="margin" w:tblpXSpec="center" w:tblpY="11"/>
        <w:tblW w:w="8560"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28" w:type="dxa"/>
          <w:bottom w:w="0" w:type="dxa"/>
          <w:right w:w="108" w:type="dxa"/>
        </w:tblCellMar>
      </w:tblPr>
      <w:tblGrid>
        <w:gridCol w:w="1134"/>
        <w:gridCol w:w="1474"/>
        <w:gridCol w:w="1417"/>
        <w:gridCol w:w="1644"/>
        <w:gridCol w:w="1644"/>
        <w:gridCol w:w="1247"/>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single" w:color="auto" w:sz="12" w:space="0"/>
              <w:bottom w:val="single" w:color="auto" w:sz="12" w:space="0"/>
              <w:right w:val="single" w:color="auto" w:sz="12" w:space="0"/>
            </w:tcBorders>
            <w:shd w:val="clear" w:color="auto" w:fill="auto"/>
            <w:tcMar>
              <w:left w:w="0" w:type="dxa"/>
              <w:right w:w="28" w:type="dxa"/>
            </w:tcMar>
            <w:vAlign w:val="center"/>
          </w:tcPr>
          <w:p>
            <w:pPr>
              <w:jc w:val="center"/>
              <w:rPr>
                <w:b/>
                <w:bCs/>
                <w:iCs/>
              </w:rPr>
            </w:pPr>
            <w:r>
              <w:rPr>
                <w:rFonts w:hint="eastAsia"/>
                <w:b/>
                <w:bCs/>
                <w:sz w:val="20"/>
                <w:szCs w:val="20"/>
              </w:rPr>
              <w:t>地区</w:t>
            </w:r>
          </w:p>
        </w:tc>
        <w:tc>
          <w:tcPr>
            <w:tcW w:w="1474" w:type="dxa"/>
            <w:tcBorders>
              <w:top w:val="single" w:color="auto" w:sz="12" w:space="0"/>
              <w:left w:val="single" w:color="auto" w:sz="12" w:space="0"/>
              <w:bottom w:val="single" w:color="auto" w:sz="12" w:space="0"/>
            </w:tcBorders>
            <w:shd w:val="clear" w:color="auto" w:fill="auto"/>
            <w:tcMar>
              <w:left w:w="0" w:type="dxa"/>
              <w:right w:w="28" w:type="dxa"/>
            </w:tcMar>
            <w:vAlign w:val="center"/>
          </w:tcPr>
          <w:p>
            <w:pPr>
              <w:jc w:val="center"/>
              <w:rPr>
                <w:b/>
                <w:bCs/>
                <w:sz w:val="20"/>
                <w:szCs w:val="20"/>
              </w:rPr>
            </w:pPr>
            <w:r>
              <w:rPr>
                <w:rFonts w:hint="eastAsia"/>
                <w:b/>
                <w:bCs/>
                <w:sz w:val="20"/>
                <w:szCs w:val="20"/>
              </w:rPr>
              <w:t>退休人员总数</w:t>
            </w:r>
          </w:p>
        </w:tc>
        <w:tc>
          <w:tcPr>
            <w:tcW w:w="1417" w:type="dxa"/>
            <w:tcBorders>
              <w:top w:val="single" w:color="auto" w:sz="12" w:space="0"/>
              <w:bottom w:val="single" w:color="auto" w:sz="12" w:space="0"/>
            </w:tcBorders>
            <w:shd w:val="clear" w:color="auto" w:fill="auto"/>
            <w:tcMar>
              <w:left w:w="0" w:type="dxa"/>
              <w:right w:w="28" w:type="dxa"/>
            </w:tcMar>
            <w:vAlign w:val="center"/>
          </w:tcPr>
          <w:p>
            <w:pPr>
              <w:jc w:val="center"/>
              <w:rPr>
                <w:b/>
                <w:bCs/>
                <w:iCs/>
              </w:rPr>
            </w:pPr>
            <w:r>
              <w:rPr>
                <w:rFonts w:hint="eastAsia"/>
                <w:b/>
                <w:bCs/>
                <w:iCs/>
              </w:rPr>
              <w:t>退休金</w:t>
            </w:r>
          </w:p>
        </w:tc>
        <w:tc>
          <w:tcPr>
            <w:tcW w:w="1644" w:type="dxa"/>
            <w:tcBorders>
              <w:top w:val="single" w:color="auto" w:sz="12" w:space="0"/>
              <w:bottom w:val="single" w:color="auto" w:sz="12" w:space="0"/>
            </w:tcBorders>
            <w:shd w:val="clear" w:color="auto" w:fill="auto"/>
            <w:tcMar>
              <w:left w:w="0" w:type="dxa"/>
              <w:right w:w="28" w:type="dxa"/>
            </w:tcMar>
            <w:vAlign w:val="center"/>
          </w:tcPr>
          <w:p>
            <w:pPr>
              <w:jc w:val="center"/>
              <w:rPr>
                <w:b/>
                <w:bCs/>
                <w:sz w:val="20"/>
                <w:szCs w:val="20"/>
              </w:rPr>
            </w:pPr>
            <w:r>
              <w:rPr>
                <w:rFonts w:hint="eastAsia"/>
                <w:b/>
                <w:bCs/>
                <w:sz w:val="20"/>
                <w:szCs w:val="20"/>
              </w:rPr>
              <w:t>人均离退休费用</w:t>
            </w:r>
          </w:p>
        </w:tc>
        <w:tc>
          <w:tcPr>
            <w:tcW w:w="1644" w:type="dxa"/>
            <w:tcBorders>
              <w:top w:val="single" w:color="auto" w:sz="12" w:space="0"/>
              <w:bottom w:val="single" w:color="auto" w:sz="12" w:space="0"/>
            </w:tcBorders>
            <w:shd w:val="clear" w:color="auto" w:fill="auto"/>
            <w:tcMar>
              <w:left w:w="0" w:type="dxa"/>
              <w:right w:w="28" w:type="dxa"/>
            </w:tcMar>
            <w:vAlign w:val="center"/>
          </w:tcPr>
          <w:p>
            <w:pPr>
              <w:jc w:val="center"/>
              <w:rPr>
                <w:b/>
                <w:bCs/>
                <w:sz w:val="20"/>
                <w:szCs w:val="20"/>
              </w:rPr>
            </w:pPr>
            <w:r>
              <w:rPr>
                <w:rFonts w:hint="eastAsia"/>
                <w:b/>
                <w:bCs/>
                <w:sz w:val="20"/>
                <w:szCs w:val="20"/>
              </w:rPr>
              <w:t>城镇单位在岗职工</w:t>
            </w:r>
          </w:p>
          <w:p>
            <w:pPr>
              <w:jc w:val="center"/>
              <w:rPr>
                <w:b/>
                <w:bCs/>
                <w:iCs/>
              </w:rPr>
            </w:pPr>
            <w:r>
              <w:rPr>
                <w:rFonts w:hint="eastAsia"/>
                <w:b/>
                <w:bCs/>
                <w:sz w:val="20"/>
                <w:szCs w:val="20"/>
              </w:rPr>
              <w:t>年平均工资（元）</w:t>
            </w:r>
          </w:p>
        </w:tc>
        <w:tc>
          <w:tcPr>
            <w:tcW w:w="1247" w:type="dxa"/>
            <w:tcBorders>
              <w:top w:val="single" w:color="auto" w:sz="12" w:space="0"/>
              <w:bottom w:val="single" w:color="auto" w:sz="12" w:space="0"/>
            </w:tcBorders>
            <w:shd w:val="clear" w:color="auto" w:fill="auto"/>
            <w:tcMar>
              <w:left w:w="0" w:type="dxa"/>
              <w:right w:w="28" w:type="dxa"/>
            </w:tcMar>
            <w:vAlign w:val="center"/>
          </w:tcPr>
          <w:p>
            <w:pPr>
              <w:jc w:val="center"/>
              <w:rPr>
                <w:b/>
                <w:bCs/>
                <w:iCs/>
              </w:rPr>
            </w:pPr>
            <w:r>
              <w:rPr>
                <w:rFonts w:hint="eastAsia"/>
                <w:b/>
                <w:bCs/>
                <w:sz w:val="20"/>
                <w:szCs w:val="20"/>
              </w:rPr>
              <w:t>平均养老金替代率</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single" w:color="auto" w:sz="12" w:space="0"/>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全省总计</w:t>
            </w:r>
          </w:p>
        </w:tc>
        <w:tc>
          <w:tcPr>
            <w:tcW w:w="1474" w:type="dxa"/>
            <w:tcBorders>
              <w:top w:val="single" w:color="auto" w:sz="12" w:space="0"/>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6715388</w:t>
            </w:r>
          </w:p>
        </w:tc>
        <w:tc>
          <w:tcPr>
            <w:tcW w:w="1417" w:type="dxa"/>
            <w:tcBorders>
              <w:top w:val="single" w:color="auto" w:sz="12" w:space="0"/>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17682125</w:t>
            </w:r>
          </w:p>
        </w:tc>
        <w:tc>
          <w:tcPr>
            <w:tcW w:w="1644" w:type="dxa"/>
            <w:tcBorders>
              <w:top w:val="single" w:color="auto" w:sz="12" w:space="0"/>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26,330.76</w:t>
            </w:r>
          </w:p>
        </w:tc>
        <w:tc>
          <w:tcPr>
            <w:tcW w:w="1644" w:type="dxa"/>
            <w:tcBorders>
              <w:top w:val="single" w:color="auto" w:sz="12" w:space="0"/>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75125</w:t>
            </w:r>
          </w:p>
        </w:tc>
        <w:tc>
          <w:tcPr>
            <w:tcW w:w="1247" w:type="dxa"/>
            <w:tcBorders>
              <w:top w:val="single" w:color="auto" w:sz="12" w:space="0"/>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35.05%</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济南市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522390</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1623974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31,087.39</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91651</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33.92%</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青岛市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1016208</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2858578</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28,129.85</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90840</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30.97%</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淄博市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411123</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1077111</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26,199.24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71432</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36.68%</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枣庄市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167715</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384419</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22,920.97</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63410</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36.15%</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东营市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60077</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110924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18,463.64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89503</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20.63%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烟台市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693591</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1760607</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25,383.94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74653</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34.00%</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潍坊市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530773</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1246196</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23,478.89</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70054</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33.52%</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济宁市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355206</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832378</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23,433.67</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65213</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35.93%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泰安市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286241</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606832</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21,200.04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61508</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34.47%</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威海市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400587</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885198</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22,097.52</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66733</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33.11%</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日照市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213957</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392429</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18,341.49</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71548</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25.64%</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莱芜市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149022</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340731</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22,864.48</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66027</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34.63%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临沂市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374819</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716138</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19,106.24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67679</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28.23%</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德州市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217327</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436629</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20,090.88</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62690</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32.05%</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聊城市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211025</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443034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20,994.38</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65436</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32.08%</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nil"/>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滨州市</w:t>
            </w:r>
          </w:p>
        </w:tc>
        <w:tc>
          <w:tcPr>
            <w:tcW w:w="1474" w:type="dxa"/>
            <w:tcBorders>
              <w:top w:val="nil"/>
              <w:left w:val="single" w:color="auto" w:sz="12" w:space="0"/>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191880</w:t>
            </w:r>
          </w:p>
        </w:tc>
        <w:tc>
          <w:tcPr>
            <w:tcW w:w="1417" w:type="dxa"/>
            <w:tcBorders>
              <w:top w:val="nil"/>
              <w:left w:val="nil"/>
              <w:bottom w:val="nil"/>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360858</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18,806.44</w:t>
            </w:r>
          </w:p>
        </w:tc>
        <w:tc>
          <w:tcPr>
            <w:tcW w:w="1644"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70047</w:t>
            </w:r>
          </w:p>
        </w:tc>
        <w:tc>
          <w:tcPr>
            <w:tcW w:w="1247" w:type="dxa"/>
            <w:tcBorders>
              <w:top w:val="nil"/>
              <w:left w:val="nil"/>
              <w:bottom w:val="nil"/>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26.85%</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28" w:type="dxa"/>
            <w:bottom w:w="0" w:type="dxa"/>
            <w:right w:w="108" w:type="dxa"/>
          </w:tblCellMar>
        </w:tblPrEx>
        <w:tc>
          <w:tcPr>
            <w:tcW w:w="1134" w:type="dxa"/>
            <w:tcBorders>
              <w:top w:val="nil"/>
              <w:left w:val="nil"/>
              <w:bottom w:val="single" w:color="auto" w:sz="12" w:space="0"/>
              <w:right w:val="single" w:color="auto" w:sz="12" w:space="0"/>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菏泽市</w:t>
            </w:r>
          </w:p>
        </w:tc>
        <w:tc>
          <w:tcPr>
            <w:tcW w:w="1474" w:type="dxa"/>
            <w:tcBorders>
              <w:top w:val="nil"/>
              <w:left w:val="single" w:color="auto" w:sz="12" w:space="0"/>
              <w:bottom w:val="single" w:color="auto" w:sz="12" w:space="0"/>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225767</w:t>
            </w:r>
          </w:p>
        </w:tc>
        <w:tc>
          <w:tcPr>
            <w:tcW w:w="1417" w:type="dxa"/>
            <w:tcBorders>
              <w:top w:val="nil"/>
              <w:left w:val="nil"/>
              <w:bottom w:val="single" w:color="auto" w:sz="12" w:space="0"/>
              <w:right w:val="nil"/>
            </w:tcBorders>
            <w:shd w:val="clear" w:color="auto" w:fill="auto"/>
            <w:tcMar>
              <w:left w:w="0" w:type="dxa"/>
              <w:right w:w="28" w:type="dxa"/>
            </w:tcMar>
            <w:vAlign w:val="center"/>
          </w:tcPr>
          <w:p>
            <w:pPr>
              <w:spacing w:line="300" w:lineRule="auto"/>
              <w:jc w:val="center"/>
              <w:rPr>
                <w:rFonts w:ascii="宋体" w:hAnsi="宋体"/>
                <w:szCs w:val="21"/>
              </w:rPr>
            </w:pPr>
            <w:r>
              <w:rPr>
                <w:rFonts w:hint="eastAsia" w:ascii="宋体" w:hAnsi="宋体"/>
                <w:szCs w:val="21"/>
              </w:rPr>
              <w:t>370345</w:t>
            </w:r>
          </w:p>
        </w:tc>
        <w:tc>
          <w:tcPr>
            <w:tcW w:w="1644" w:type="dxa"/>
            <w:tcBorders>
              <w:top w:val="nil"/>
              <w:left w:val="nil"/>
              <w:bottom w:val="single" w:color="auto" w:sz="12" w:space="0"/>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16,403.86</w:t>
            </w:r>
          </w:p>
        </w:tc>
        <w:tc>
          <w:tcPr>
            <w:tcW w:w="1644" w:type="dxa"/>
            <w:tcBorders>
              <w:top w:val="nil"/>
              <w:left w:val="nil"/>
              <w:bottom w:val="single" w:color="auto" w:sz="12" w:space="0"/>
              <w:right w:val="nil"/>
            </w:tcBorders>
            <w:shd w:val="clear" w:color="auto" w:fill="auto"/>
            <w:tcMar>
              <w:left w:w="0" w:type="dxa"/>
              <w:right w:w="28" w:type="dxa"/>
            </w:tcMar>
          </w:tcPr>
          <w:p>
            <w:pPr>
              <w:spacing w:line="300" w:lineRule="auto"/>
              <w:jc w:val="center"/>
              <w:rPr>
                <w:rFonts w:ascii="宋体" w:hAnsi="宋体"/>
                <w:szCs w:val="21"/>
              </w:rPr>
            </w:pPr>
            <w:r>
              <w:rPr>
                <w:rFonts w:hint="eastAsia" w:ascii="宋体" w:hAnsi="宋体"/>
                <w:szCs w:val="21"/>
              </w:rPr>
              <w:t>60527</w:t>
            </w:r>
          </w:p>
        </w:tc>
        <w:tc>
          <w:tcPr>
            <w:tcW w:w="1247" w:type="dxa"/>
            <w:tcBorders>
              <w:top w:val="nil"/>
              <w:left w:val="nil"/>
              <w:bottom w:val="single" w:color="auto" w:sz="12" w:space="0"/>
              <w:right w:val="nil"/>
            </w:tcBorders>
            <w:shd w:val="clear" w:color="auto" w:fill="auto"/>
            <w:tcMar>
              <w:left w:w="0" w:type="dxa"/>
              <w:right w:w="28" w:type="dxa"/>
            </w:tcMar>
          </w:tcPr>
          <w:p>
            <w:pPr>
              <w:spacing w:line="300" w:lineRule="auto"/>
              <w:jc w:val="center"/>
              <w:rPr>
                <w:rFonts w:ascii="宋体" w:hAnsi="宋体"/>
                <w:szCs w:val="21"/>
              </w:rPr>
            </w:pPr>
            <w:r>
              <w:rPr>
                <w:rFonts w:ascii="宋体" w:hAnsi="宋体"/>
                <w:szCs w:val="21"/>
              </w:rPr>
              <w:t>27.10%</w:t>
            </w:r>
          </w:p>
        </w:tc>
      </w:tr>
    </w:tbl>
    <w:p>
      <w:pPr>
        <w:autoSpaceDE w:val="0"/>
        <w:autoSpaceDN w:val="0"/>
        <w:adjustRightInd w:val="0"/>
        <w:ind w:firstLine="420" w:firstLineChars="200"/>
        <w:rPr>
          <w:rFonts w:ascii="宋体" w:hAnsi="宋体" w:cs="Courier+ZCLC88-1"/>
          <w:color w:val="FF0000"/>
          <w:kern w:val="0"/>
          <w:szCs w:val="21"/>
        </w:rPr>
      </w:pPr>
      <w:r>
        <w:rPr>
          <w:rFonts w:hint="eastAsia" w:ascii="宋体" w:hAnsi="宋体" w:cs="Courier+ZCLC88-1"/>
          <w:color w:val="000000"/>
          <w:kern w:val="0"/>
          <w:szCs w:val="21"/>
        </w:rPr>
        <w:t>数据来源：《山东省统计年鉴2</w:t>
      </w:r>
      <w:r>
        <w:rPr>
          <w:rFonts w:ascii="宋体" w:hAnsi="宋体" w:cs="Courier+ZCLC88-1"/>
          <w:color w:val="000000"/>
          <w:kern w:val="0"/>
          <w:szCs w:val="21"/>
        </w:rPr>
        <w:t>019</w:t>
      </w:r>
      <w:r>
        <w:rPr>
          <w:rFonts w:hint="eastAsia" w:ascii="宋体" w:hAnsi="宋体" w:cs="Courier+ZCLC88-1"/>
          <w:color w:val="000000"/>
          <w:kern w:val="0"/>
          <w:szCs w:val="21"/>
        </w:rPr>
        <w:t xml:space="preserve">》 </w:t>
      </w:r>
      <w:r>
        <w:rPr>
          <w:rFonts w:hint="eastAsia" w:ascii="宋体" w:hAnsi="宋体" w:cs="Courier+ZCLC88-1"/>
          <w:color w:val="FF0000"/>
          <w:kern w:val="0"/>
          <w:szCs w:val="21"/>
        </w:rPr>
        <w:t>(注解为五号宋体)</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宋体" w:hAnsi="宋体"/>
          <w:sz w:val="24"/>
        </w:rPr>
        <w:t>根据2018年山东省基本养老保险基金支出2656.5亿元可以计算得到山东省人均养老保险39232.53元（除离休、退休养老金外还含有各种补贴、医疗费、补助费等多项社会保障内容），平均养老金替代率达到52%，在比较大程度上高估了实际平均养老金替代率。由表3-1各市养老金替代率可以看出，山东省各市养老金替代率差异总体比较小，最高值是淄博市36.82%，最低值是东营市只有20.78%。东营市的数值很大程度上偏离了山东省35.26%的水平，并且距离各市算术平均值的31.93%也相差甚远。根据东营市其他数据水平可以看出，东营市离退休人员数是全山东省最少，接近济南市的六分之一、青岛市的十八分之一，并且其城镇单位在岗职工年平均工资水平较高接近济南市和青岛市位列山东省各市第三，所以综合来看东营市的平均养老金替代率水平在这种普遍算法中被低估了，在分析比较东营市的平均养老金替代率水平时应当对离退休人员数、离退休费用、平均工资水平等数据进行相对化处理，才能取得一个相对更合理的比较。</w:t>
      </w:r>
    </w:p>
    <w:p>
      <w:pPr>
        <w:spacing w:before="162" w:beforeLines="50" w:after="162" w:afterLines="50"/>
        <w:jc w:val="center"/>
        <w:outlineLvl w:val="0"/>
        <w:rPr>
          <w:rFonts w:ascii="黑体" w:hAnsi="黑体" w:eastAsia="黑体"/>
          <w:sz w:val="32"/>
          <w:szCs w:val="32"/>
        </w:rPr>
      </w:pPr>
      <w:bookmarkStart w:id="31" w:name="_Toc323033628"/>
      <w:bookmarkStart w:id="32" w:name="_Toc322714418"/>
      <w:bookmarkStart w:id="33" w:name="_Toc68789976"/>
      <w:bookmarkStart w:id="34" w:name="_Toc322713650"/>
      <w:r>
        <w:rPr>
          <w:rFonts w:hint="eastAsia" w:ascii="黑体" w:hAnsi="黑体" w:eastAsia="黑体"/>
          <w:sz w:val="32"/>
          <w:szCs w:val="32"/>
          <w:lang w:val="en-US" w:eastAsia="zh-CN"/>
        </w:rPr>
        <w:t xml:space="preserve">第4章  </w:t>
      </w:r>
      <w:r>
        <w:rPr>
          <w:rFonts w:hint="eastAsia" w:ascii="黑体" w:hAnsi="黑体" w:eastAsia="黑体"/>
          <w:sz w:val="32"/>
          <w:szCs w:val="32"/>
        </w:rPr>
        <w:t>养老金替代率精算模型设定</w:t>
      </w:r>
      <w:bookmarkEnd w:id="31"/>
      <w:bookmarkEnd w:id="32"/>
      <w:bookmarkEnd w:id="33"/>
      <w:bookmarkEnd w:id="34"/>
    </w:p>
    <w:p>
      <w:pPr>
        <w:spacing w:before="162" w:beforeLines="50" w:after="162" w:afterLines="50"/>
        <w:outlineLvl w:val="1"/>
        <w:rPr>
          <w:rFonts w:ascii="黑体" w:hAnsi="黑体" w:eastAsia="黑体"/>
          <w:sz w:val="28"/>
          <w:szCs w:val="28"/>
        </w:rPr>
      </w:pPr>
      <w:bookmarkStart w:id="35" w:name="_Toc68789977"/>
      <w:r>
        <w:rPr>
          <w:rFonts w:hint="eastAsia" w:ascii="黑体" w:hAnsi="黑体" w:eastAsia="黑体"/>
          <w:sz w:val="28"/>
          <w:szCs w:val="28"/>
          <w:lang w:val="en-US" w:eastAsia="zh-CN"/>
        </w:rPr>
        <w:t xml:space="preserve">4.1  </w:t>
      </w:r>
      <w:r>
        <w:rPr>
          <w:rFonts w:hint="eastAsia" w:ascii="黑体" w:hAnsi="黑体" w:eastAsia="黑体"/>
          <w:sz w:val="28"/>
          <w:szCs w:val="28"/>
        </w:rPr>
        <w:t>养老金替代率模型设定</w:t>
      </w:r>
      <w:bookmarkEnd w:id="3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宋体" w:hAnsi="宋体"/>
          <w:sz w:val="24"/>
        </w:rPr>
        <w:t>《决定》中指出我国城镇企业职工基本养老金有基本养老金和个人账户养老金构成，即城镇职工基本养老金=基础养老金+个人账户养老金。下文将个人账户养老金记为</w:t>
      </w:r>
      <m:oMath>
        <m:sSub>
          <m:sSubPr>
            <m:ctrlPr>
              <w:rPr>
                <w:rFonts w:ascii="Cambria Math" w:hAnsi="Cambria Math"/>
              </w:rPr>
            </m:ctrlPr>
          </m:sSubPr>
          <m:e>
            <m:r>
              <m:rPr/>
              <w:rPr>
                <w:rFonts w:ascii="Cambria Math" w:hAnsi="Cambria Math"/>
              </w:rPr>
              <m:t>B</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ascii="宋体" w:hAnsi="宋体"/>
          <w:sz w:val="24"/>
        </w:rPr>
        <w:t>、基本养老金记为</w:t>
      </w:r>
      <m:oMath>
        <m:sSub>
          <m:sSubPr>
            <m:ctrlPr>
              <w:rPr>
                <w:rFonts w:ascii="Cambria Math" w:hAnsi="Cambria Math"/>
              </w:rPr>
            </m:ctrlPr>
          </m:sSubPr>
          <m:e>
            <m:r>
              <m:rPr/>
              <w:rPr>
                <w:rFonts w:ascii="Cambria Math" w:hAnsi="Cambria Math"/>
              </w:rPr>
              <m:t>B</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ascii="宋体" w:hAnsi="宋体"/>
          <w:sz w:val="24"/>
        </w:rPr>
        <w:t>。</w:t>
      </w:r>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36" w:name="_Toc322714396"/>
      <w:bookmarkStart w:id="37" w:name="_Toc68789978"/>
      <w:bookmarkStart w:id="38" w:name="_Toc323033605"/>
      <w:bookmarkStart w:id="39" w:name="_Toc322713628"/>
      <w:bookmarkStart w:id="40" w:name="_Hlk68785592"/>
      <w:r>
        <w:rPr>
          <w:rFonts w:hint="eastAsia" w:ascii="黑体" w:hAnsi="黑体" w:eastAsia="黑体" w:cs="宋体"/>
          <w:kern w:val="0"/>
          <w:sz w:val="24"/>
          <w:lang w:val="en-US" w:eastAsia="zh-CN"/>
        </w:rPr>
        <w:t xml:space="preserve">4.1.1  </w:t>
      </w:r>
      <w:r>
        <w:rPr>
          <w:rFonts w:hint="eastAsia" w:ascii="黑体" w:hAnsi="黑体" w:eastAsia="黑体" w:cs="宋体"/>
          <w:kern w:val="0"/>
          <w:sz w:val="24"/>
        </w:rPr>
        <w:t>个人账户养老金</w:t>
      </w:r>
      <m:oMath>
        <m:sSub>
          <m:sSubPr>
            <m:ctrlPr>
              <w:rPr>
                <w:rFonts w:ascii="Cambria Math" w:hAnsi="Cambria Math" w:eastAsia="黑体" w:cs="宋体"/>
                <w:kern w:val="0"/>
                <w:sz w:val="24"/>
              </w:rPr>
            </m:ctrlPr>
          </m:sSubPr>
          <m:e>
            <m:r>
              <m:rPr/>
              <w:rPr>
                <w:rFonts w:ascii="Cambria Math" w:hAnsi="Cambria Math" w:eastAsia="黑体" w:cs="宋体"/>
                <w:kern w:val="0"/>
                <w:sz w:val="24"/>
              </w:rPr>
              <m:t>B</m:t>
            </m:r>
            <m:ctrlPr>
              <w:rPr>
                <w:rFonts w:ascii="Cambria Math" w:hAnsi="Cambria Math" w:eastAsia="黑体" w:cs="宋体"/>
                <w:kern w:val="0"/>
                <w:sz w:val="24"/>
              </w:rPr>
            </m:ctrlPr>
          </m:e>
          <m:sub>
            <m:r>
              <m:rPr>
                <m:sty m:val="p"/>
              </m:rPr>
              <w:rPr>
                <w:rFonts w:ascii="Cambria Math" w:hAnsi="Cambria Math" w:eastAsia="黑体" w:cs="宋体"/>
                <w:kern w:val="0"/>
                <w:sz w:val="24"/>
              </w:rPr>
              <m:t>1</m:t>
            </m:r>
            <w:bookmarkEnd w:id="36"/>
            <w:bookmarkEnd w:id="37"/>
            <w:bookmarkEnd w:id="38"/>
            <w:bookmarkEnd w:id="39"/>
            <m:ctrlPr>
              <w:rPr>
                <w:rFonts w:ascii="Cambria Math" w:hAnsi="Cambria Math" w:eastAsia="黑体" w:cs="宋体"/>
                <w:kern w:val="0"/>
                <w:sz w:val="24"/>
              </w:rPr>
            </m:ctrlPr>
          </m:sub>
        </m:sSub>
      </m:oMath>
      <w:r>
        <w:rPr>
          <w:rFonts w:hint="eastAsia" w:ascii="黑体" w:hAnsi="黑体" w:eastAsia="黑体" w:cs="宋体"/>
          <w:kern w:val="0"/>
          <w:sz w:val="24"/>
        </w:rPr>
        <w:t xml:space="preserve"> </w:t>
      </w:r>
      <w:r>
        <w:rPr>
          <w:rFonts w:hint="eastAsia" w:ascii="黑体" w:hAnsi="黑体" w:eastAsia="黑体" w:cs="宋体"/>
          <w:color w:val="FF0000"/>
          <w:kern w:val="0"/>
          <w:sz w:val="24"/>
        </w:rPr>
        <w:t>（</w:t>
      </w:r>
      <w:r>
        <w:rPr>
          <w:rFonts w:hint="eastAsia" w:ascii="黑体" w:hAnsi="黑体" w:eastAsia="黑体" w:cs="宋体"/>
          <w:color w:val="FF0000"/>
          <w:kern w:val="0"/>
          <w:sz w:val="24"/>
          <w:lang w:val="en-US" w:eastAsia="zh-CN"/>
        </w:rPr>
        <w:t>小节</w:t>
      </w:r>
      <w:r>
        <w:rPr>
          <w:rFonts w:hint="eastAsia" w:ascii="黑体" w:hAnsi="黑体" w:eastAsia="黑体" w:cs="宋体"/>
          <w:color w:val="FF0000"/>
          <w:kern w:val="0"/>
          <w:sz w:val="24"/>
        </w:rPr>
        <w:t>标题，小四</w:t>
      </w:r>
      <w:r>
        <w:rPr>
          <w:rFonts w:hint="eastAsia" w:ascii="黑体" w:hAnsi="黑体" w:eastAsia="黑体" w:cs="宋体"/>
          <w:color w:val="FF0000"/>
          <w:kern w:val="0"/>
          <w:sz w:val="24"/>
          <w:lang w:eastAsia="zh-CN"/>
        </w:rPr>
        <w:t>，</w:t>
      </w:r>
      <w:r>
        <w:rPr>
          <w:rFonts w:hint="eastAsia" w:ascii="黑体" w:hAnsi="黑体" w:eastAsia="黑体" w:cs="宋体"/>
          <w:color w:val="FF0000"/>
          <w:kern w:val="0"/>
          <w:sz w:val="24"/>
        </w:rPr>
        <w:t>黑体，</w:t>
      </w:r>
      <w:r>
        <w:rPr>
          <w:rFonts w:ascii="黑体" w:hAnsi="黑体" w:eastAsia="黑体" w:cs="宋体"/>
          <w:color w:val="FF0000"/>
          <w:kern w:val="0"/>
          <w:sz w:val="24"/>
        </w:rPr>
        <w:t>缩进</w:t>
      </w:r>
      <w:r>
        <w:rPr>
          <w:rFonts w:hint="eastAsia" w:ascii="黑体" w:hAnsi="黑体" w:eastAsia="黑体" w:cs="宋体"/>
          <w:color w:val="FF0000"/>
          <w:kern w:val="0"/>
          <w:sz w:val="24"/>
          <w:lang w:val="en-US" w:eastAsia="zh-CN"/>
        </w:rPr>
        <w:t>2字符</w:t>
      </w:r>
      <w:r>
        <w:rPr>
          <w:rFonts w:hint="eastAsia" w:ascii="黑体" w:hAnsi="黑体" w:eastAsia="黑体" w:cs="宋体"/>
          <w:color w:val="FF0000"/>
          <w:kern w:val="0"/>
          <w:sz w:val="24"/>
        </w:rPr>
        <w:t>）</w:t>
      </w:r>
    </w:p>
    <w:p>
      <w:pPr>
        <w:keepNext w:val="0"/>
        <w:keepLines w:val="0"/>
        <w:pageBreakBefore w:val="0"/>
        <w:widowControl w:val="0"/>
        <w:kinsoku/>
        <w:wordWrap/>
        <w:overflowPunct/>
        <w:topLinePunct w:val="0"/>
        <w:autoSpaceDE w:val="0"/>
        <w:autoSpaceDN w:val="0"/>
        <w:bidi w:val="0"/>
        <w:adjustRightInd w:val="0"/>
        <w:snapToGrid/>
        <w:spacing w:line="360" w:lineRule="auto"/>
        <w:ind w:firstLine="480" w:firstLineChars="200"/>
        <w:textAlignment w:val="auto"/>
        <w:rPr>
          <w:rFonts w:ascii="宋体" w:hAnsi="宋体"/>
          <w:sz w:val="24"/>
        </w:rPr>
      </w:pPr>
      <w:r>
        <w:rPr>
          <w:rFonts w:hint="eastAsia" w:ascii="宋体" w:hAnsi="宋体"/>
          <w:sz w:val="24"/>
        </w:rPr>
        <w:t>个人账户养老金是由退休时个人账户的累计总额平分到退休年龄确定的计发月数其中退休年龄确定的计发月数是根据国务院统一公布的《决定》中的计发月数表来确定的。从40岁到70岁都有对应的计发月数。例如，40岁是233个月，50岁是195个月，55岁是170个月，60岁是139个月，70岁只有56个月等，该表格会在下文中的参数选取中统一给出。用Y来代表个人账户缴费的累计总额，则公式表示为：</w:t>
      </w:r>
      <m:oMath>
        <m:r>
          <m:rPr>
            <m:sty m:val="p"/>
          </m:rPr>
          <w:rPr>
            <w:rFonts w:ascii="Cambria Math" w:hAnsi="Cambria Math"/>
          </w:rPr>
          <w:br w:type="textWrapping"/>
        </m:r>
      </m:oMath>
      <w:bookmarkEnd w:id="40"/>
      <w:r>
        <w:rPr>
          <w:rFonts w:hint="eastAsia" w:ascii="宋体" w:hAnsi="宋体"/>
          <w:sz w:val="24"/>
        </w:rPr>
        <w:t xml:space="preserve">                       </w:t>
      </w:r>
      <m:oMath>
        <m:sSub>
          <m:sSubPr>
            <m:ctrlPr>
              <w:rPr>
                <w:rFonts w:ascii="Cambria Math" w:hAnsi="Cambria Math"/>
                <w:sz w:val="24"/>
              </w:rPr>
            </m:ctrlPr>
          </m:sSubPr>
          <m:e>
            <m:r>
              <m:rPr/>
              <w:rPr>
                <w:rFonts w:ascii="Cambria Math" w:hAnsi="Cambria Math"/>
                <w:sz w:val="24"/>
              </w:rPr>
              <m:t>B</m:t>
            </m:r>
            <m:ctrlPr>
              <w:rPr>
                <w:rFonts w:ascii="Cambria Math" w:hAnsi="Cambria Math"/>
                <w:sz w:val="24"/>
              </w:rPr>
            </m:ctrlPr>
          </m:e>
          <m:sub>
            <m:r>
              <m:rPr>
                <m:sty m:val="p"/>
              </m:rPr>
              <w:rPr>
                <w:rFonts w:ascii="Cambria Math" w:hAnsi="Cambria Math"/>
                <w:sz w:val="24"/>
              </w:rPr>
              <m:t>1</m:t>
            </m:r>
            <m:ctrlPr>
              <w:rPr>
                <w:rFonts w:ascii="Cambria Math" w:hAnsi="Cambria Math"/>
                <w:sz w:val="24"/>
              </w:rPr>
            </m:ctrlPr>
          </m:sub>
        </m:sSub>
        <m:r>
          <m:rPr>
            <m:sty m:val="p"/>
          </m:rPr>
          <w:rPr>
            <w:rFonts w:ascii="Cambria Math" w:hAnsi="Cambria Math"/>
            <w:sz w:val="24"/>
          </w:rPr>
          <m:t>=</m:t>
        </m:r>
        <m:f>
          <m:fPr>
            <m:ctrlPr>
              <w:rPr>
                <w:rFonts w:ascii="Cambria Math" w:hAnsi="Cambria Math"/>
                <w:sz w:val="24"/>
              </w:rPr>
            </m:ctrlPr>
          </m:fPr>
          <m:num>
            <m:r>
              <m:rPr/>
              <w:rPr>
                <w:rFonts w:ascii="Cambria Math" w:hAnsi="Cambria Math"/>
                <w:sz w:val="24"/>
              </w:rPr>
              <m:t>Y</m:t>
            </m:r>
            <m:ctrlPr>
              <w:rPr>
                <w:rFonts w:ascii="Cambria Math" w:hAnsi="Cambria Math"/>
                <w:sz w:val="24"/>
              </w:rPr>
            </m:ctrlPr>
          </m:num>
          <m:den>
            <m:r>
              <m:rPr/>
              <w:rPr>
                <w:rFonts w:hint="eastAsia" w:ascii="Cambria Math" w:hAnsi="Cambria Math"/>
                <w:sz w:val="24"/>
              </w:rPr>
              <m:t>m</m:t>
            </m:r>
            <m:ctrlPr>
              <w:rPr>
                <w:rFonts w:ascii="Cambria Math" w:hAnsi="Cambria Math"/>
                <w:sz w:val="24"/>
              </w:rPr>
            </m:ctrlPr>
          </m:den>
        </m:f>
      </m:oMath>
      <w:r>
        <w:rPr>
          <w:rFonts w:hint="eastAsia" w:ascii="宋体" w:hAnsi="宋体"/>
          <w:sz w:val="24"/>
        </w:rPr>
        <w:t xml:space="preserve"> </w:t>
      </w:r>
      <w:r>
        <w:rPr>
          <w:rFonts w:ascii="宋体" w:hAnsi="宋体"/>
          <w:sz w:val="24"/>
        </w:rPr>
        <w:t xml:space="preserve">  </w:t>
      </w:r>
      <w:r>
        <w:rPr>
          <w:rFonts w:ascii="宋体" w:hAnsi="宋体"/>
          <w:color w:val="FF0000"/>
          <w:sz w:val="24"/>
        </w:rPr>
        <w:t>(</w:t>
      </w:r>
      <w:r>
        <w:rPr>
          <w:rFonts w:hint="eastAsia" w:ascii="宋体" w:hAnsi="宋体"/>
          <w:color w:val="FF0000"/>
          <w:sz w:val="24"/>
        </w:rPr>
        <w:t>公式和</w:t>
      </w:r>
      <w:r>
        <w:rPr>
          <w:rFonts w:hint="eastAsia" w:ascii="宋体" w:hAnsi="宋体"/>
          <w:color w:val="FF0000"/>
          <w:sz w:val="24"/>
          <w:lang w:val="en-US" w:eastAsia="zh-CN"/>
        </w:rPr>
        <w:t>符号</w:t>
      </w:r>
      <w:r>
        <w:rPr>
          <w:rFonts w:ascii="宋体" w:hAnsi="宋体"/>
          <w:color w:val="FF0000"/>
          <w:sz w:val="24"/>
        </w:rPr>
        <w:t>输入一律使用公式编辑器)</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宋体" w:hAnsi="宋体"/>
          <w:sz w:val="24"/>
        </w:rPr>
        <w:t>根据《山东省人民政府关于印发山东省完善企业职工基本养老保险制度实施意见的通知》（鲁政发[2006]92号）中提出从2006年1月1日起在全省范围内进行做事个人账户的试点工作。并且同时期开始执行新的基本养老金计发办法，其中个人账户规模从原来的11%调整为8%，全部由个人缴费形成，单位缴费不再划入个人账户。假设某职工从a岁参保基础养老保险，当时的个人年薪为WI，当时社会平均工资为WS；b岁退休且停止缴纳保费，缴费年数为N年（视为N≥15），期间工资增长率为g，通货膨胀率f，个人账户记账利率为i，将退休年个人账户缴费总额表示出来，得到个人账户月发养老金公式为：</w:t>
      </w:r>
    </w:p>
    <w:p>
      <w:pPr>
        <w:pStyle w:val="33"/>
        <w:spacing w:line="300" w:lineRule="auto"/>
        <w:ind w:left="420" w:firstLine="480"/>
        <w:rPr>
          <w:rFonts w:ascii="Cambria Math" w:hAnsi="Cambria Math"/>
          <w:sz w:val="24"/>
          <w:szCs w:val="24"/>
        </w:rPr>
      </w:pPr>
      <m:oMathPara>
        <m:oMath>
          <m:sSub>
            <w:bookmarkStart w:id="41" w:name="OLE_LINK5"/>
            <m:sSubPr>
              <m:ctrlPr>
                <w:rPr>
                  <w:rFonts w:ascii="Cambria Math" w:hAnsi="Cambria Math"/>
                  <w:sz w:val="24"/>
                  <w:szCs w:val="24"/>
                </w:rPr>
              </m:ctrlPr>
            </m:sSubPr>
            <m:e>
              <m:r>
                <m:rPr/>
                <w:rPr>
                  <w:rFonts w:ascii="Cambria Math" w:hAnsi="Cambria Math"/>
                  <w:sz w:val="24"/>
                  <w:szCs w:val="24"/>
                </w:rPr>
                <m:t>B</m:t>
              </m:r>
              <m:ctrlPr>
                <w:rPr>
                  <w:rFonts w:ascii="Cambria Math" w:hAnsi="Cambria Math"/>
                  <w:sz w:val="24"/>
                  <w:szCs w:val="24"/>
                </w:rPr>
              </m:ctrlPr>
            </m:e>
            <m:sub>
              <m:r>
                <m:rPr>
                  <m:sty m:val="p"/>
                </m:rPr>
                <w:rPr>
                  <w:rFonts w:ascii="Cambria Math" w:hAnsi="Cambria Math"/>
                  <w:sz w:val="24"/>
                  <w:szCs w:val="24"/>
                </w:rPr>
                <m:t>1</m:t>
              </m:r>
              <w:bookmarkEnd w:id="41"/>
              <m:ctrlPr>
                <w:rPr>
                  <w:rFonts w:ascii="Cambria Math" w:hAnsi="Cambria Math"/>
                  <w:sz w:val="24"/>
                  <w:szCs w:val="24"/>
                </w:rPr>
              </m:ctrlPr>
            </m:sub>
          </m:sSub>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sz w:val="24"/>
                      <w:szCs w:val="24"/>
                    </w:rPr>
                  </m:ctrlPr>
                </m:naryPr>
                <m:sub>
                  <m:r>
                    <m:rPr/>
                    <w:rPr>
                      <w:rFonts w:ascii="Cambria Math" w:hAnsi="Cambria Math"/>
                      <w:sz w:val="24"/>
                      <w:szCs w:val="24"/>
                    </w:rPr>
                    <m:t>n</m:t>
                  </m:r>
                  <m:r>
                    <m:rPr>
                      <m:sty m:val="p"/>
                    </m:rPr>
                    <w:rPr>
                      <w:rFonts w:ascii="Cambria Math" w:hAnsi="Cambria Math"/>
                      <w:sz w:val="24"/>
                      <w:szCs w:val="24"/>
                    </w:rPr>
                    <m:t>=0</m:t>
                  </m:r>
                  <m:ctrlPr>
                    <w:rPr>
                      <w:rFonts w:ascii="Cambria Math" w:hAnsi="Cambria Math"/>
                      <w:sz w:val="24"/>
                      <w:szCs w:val="24"/>
                    </w:rPr>
                  </m:ctrlPr>
                </m:sub>
                <m:sup>
                  <m:r>
                    <m:rPr/>
                    <w:rPr>
                      <w:rFonts w:ascii="Cambria Math" w:hAnsi="Cambria Math"/>
                      <w:sz w:val="24"/>
                      <w:szCs w:val="24"/>
                    </w:rPr>
                    <m:t>N</m:t>
                  </m:r>
                  <m:ctrlPr>
                    <w:rPr>
                      <w:rFonts w:ascii="Cambria Math" w:hAnsi="Cambria Math"/>
                      <w:sz w:val="24"/>
                      <w:szCs w:val="24"/>
                    </w:rPr>
                  </m:ctrlPr>
                </m:sup>
                <m:e>
                  <m:sSub>
                    <m:sSubPr>
                      <m:ctrlPr>
                        <w:rPr>
                          <w:rFonts w:ascii="Cambria Math" w:hAnsi="Cambria Math"/>
                          <w:sz w:val="24"/>
                          <w:szCs w:val="24"/>
                        </w:rPr>
                      </m:ctrlPr>
                    </m:sSubPr>
                    <m:e>
                      <m:r>
                        <m:rPr/>
                        <w:rPr>
                          <w:rFonts w:ascii="Cambria Math" w:hAnsi="Cambria Math"/>
                          <w:sz w:val="24"/>
                          <w:szCs w:val="24"/>
                        </w:rPr>
                        <m:t>W</m:t>
                      </m:r>
                      <m:ctrlPr>
                        <w:rPr>
                          <w:rFonts w:ascii="Cambria Math" w:hAnsi="Cambria Math"/>
                          <w:sz w:val="24"/>
                          <w:szCs w:val="24"/>
                        </w:rPr>
                      </m:ctrlPr>
                    </m:e>
                    <m:sub>
                      <m:r>
                        <m:rPr/>
                        <w:rPr>
                          <w:rFonts w:ascii="Cambria Math" w:hAnsi="Cambria Math"/>
                          <w:sz w:val="24"/>
                          <w:szCs w:val="24"/>
                        </w:rPr>
                        <m:t>I</m:t>
                      </m:r>
                      <m:ctrlPr>
                        <w:rPr>
                          <w:rFonts w:ascii="Cambria Math" w:hAnsi="Cambria Math"/>
                          <w:sz w:val="24"/>
                          <w:szCs w:val="24"/>
                        </w:rPr>
                      </m:ctrlPr>
                    </m:sub>
                  </m:sSub>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r>
                            <m:rPr/>
                            <w:rPr>
                              <w:rFonts w:hint="eastAsia" w:ascii="Cambria Math" w:hAnsi="Cambria Math"/>
                              <w:sz w:val="24"/>
                              <w:szCs w:val="24"/>
                            </w:rPr>
                            <m:t>g</m:t>
                          </m:r>
                          <m:r>
                            <m:rPr>
                              <m:sty m:val="p"/>
                            </m:rPr>
                            <w:rPr>
                              <w:rFonts w:hint="eastAsia" w:ascii="Cambria Math" w:hAnsi="Cambria Math"/>
                              <w:sz w:val="24"/>
                              <w:szCs w:val="24"/>
                            </w:rPr>
                            <m:t>+</m:t>
                          </m:r>
                          <m:r>
                            <m:rPr/>
                            <w:rPr>
                              <w:rFonts w:hint="eastAsia" w:ascii="Cambria Math" w:hAnsi="Cambria Math"/>
                              <w:sz w:val="24"/>
                              <w:szCs w:val="24"/>
                            </w:rPr>
                            <m:t>f</m:t>
                          </m:r>
                          <m:ctrlPr>
                            <w:rPr>
                              <w:rFonts w:ascii="Cambria Math" w:hAnsi="Cambria Math"/>
                              <w:sz w:val="24"/>
                              <w:szCs w:val="24"/>
                            </w:rPr>
                          </m:ctrlPr>
                        </m:e>
                      </m:d>
                      <m:ctrlPr>
                        <w:rPr>
                          <w:rFonts w:ascii="Cambria Math" w:hAnsi="Cambria Math"/>
                          <w:sz w:val="24"/>
                          <w:szCs w:val="24"/>
                        </w:rPr>
                      </m:ctrlPr>
                    </m:e>
                    <m:sup>
                      <m:r>
                        <m:rPr/>
                        <w:rPr>
                          <w:rFonts w:hint="eastAsia" w:ascii="Cambria Math" w:hAnsi="Cambria Math"/>
                          <w:sz w:val="24"/>
                          <w:szCs w:val="24"/>
                        </w:rPr>
                        <m:t>n</m:t>
                      </m:r>
                      <m:ctrlPr>
                        <w:rPr>
                          <w:rFonts w:ascii="Cambria Math" w:hAnsi="Cambria Math"/>
                          <w:sz w:val="24"/>
                          <w:szCs w:val="24"/>
                        </w:rPr>
                      </m:ctrlPr>
                    </m:sup>
                  </m:sSup>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1+</m:t>
                          </m:r>
                          <m:r>
                            <m:rPr/>
                            <w:rPr>
                              <w:rFonts w:hint="eastAsia" w:ascii="Cambria Math" w:hAnsi="Cambria Math"/>
                              <w:sz w:val="24"/>
                              <w:szCs w:val="24"/>
                            </w:rPr>
                            <m:t>i</m:t>
                          </m:r>
                          <m:ctrlPr>
                            <w:rPr>
                              <w:rFonts w:ascii="Cambria Math" w:hAnsi="Cambria Math"/>
                              <w:sz w:val="24"/>
                              <w:szCs w:val="24"/>
                            </w:rPr>
                          </m:ctrlPr>
                        </m:e>
                      </m:d>
                      <m:ctrlPr>
                        <w:rPr>
                          <w:rFonts w:ascii="Cambria Math" w:hAnsi="Cambria Math"/>
                          <w:sz w:val="24"/>
                          <w:szCs w:val="24"/>
                        </w:rPr>
                      </m:ctrlPr>
                    </m:e>
                    <m:sup>
                      <m:d>
                        <m:dPr>
                          <m:ctrlPr>
                            <w:rPr>
                              <w:rFonts w:ascii="Cambria Math" w:hAnsi="Cambria Math"/>
                              <w:sz w:val="24"/>
                              <w:szCs w:val="24"/>
                            </w:rPr>
                          </m:ctrlPr>
                        </m:dPr>
                        <m:e>
                          <m:r>
                            <m:rPr/>
                            <w:rPr>
                              <w:rFonts w:ascii="Cambria Math" w:hAnsi="Cambria Math"/>
                              <w:sz w:val="24"/>
                              <w:szCs w:val="24"/>
                            </w:rPr>
                            <m:t>N</m:t>
                          </m:r>
                          <m:r>
                            <m:rPr>
                              <m:sty m:val="p"/>
                            </m:rPr>
                            <w:rPr>
                              <w:rFonts w:ascii="Cambria Math" w:hAnsi="Cambria Math"/>
                              <w:sz w:val="24"/>
                              <w:szCs w:val="24"/>
                            </w:rPr>
                            <m:t>+1−</m:t>
                          </m:r>
                          <m:r>
                            <m:rPr/>
                            <w:rPr>
                              <w:rFonts w:ascii="Cambria Math" w:hAnsi="Cambria Math"/>
                              <w:sz w:val="24"/>
                              <w:szCs w:val="24"/>
                            </w:rPr>
                            <m:t>n</m:t>
                          </m:r>
                          <m:ctrlPr>
                            <w:rPr>
                              <w:rFonts w:ascii="Cambria Math" w:hAnsi="Cambria Math"/>
                              <w:sz w:val="24"/>
                              <w:szCs w:val="24"/>
                            </w:rPr>
                          </m:ctrlPr>
                        </m:e>
                      </m:d>
                      <m:ctrlPr>
                        <w:rPr>
                          <w:rFonts w:ascii="Cambria Math" w:hAnsi="Cambria Math"/>
                          <w:sz w:val="24"/>
                          <w:szCs w:val="24"/>
                        </w:rPr>
                      </m:ctrlPr>
                    </m:sup>
                  </m:sSup>
                  <m:r>
                    <m:rPr>
                      <m:sty m:val="p"/>
                    </m:rPr>
                    <w:rPr>
                      <w:rFonts w:ascii="Cambria Math" w:hAnsi="Cambria Math"/>
                      <w:sz w:val="24"/>
                      <w:szCs w:val="24"/>
                    </w:rPr>
                    <m:t>∗8%</m:t>
                  </m:r>
                  <m:ctrlPr>
                    <w:rPr>
                      <w:rFonts w:ascii="Cambria Math" w:hAnsi="Cambria Math"/>
                      <w:sz w:val="24"/>
                      <w:szCs w:val="24"/>
                    </w:rPr>
                  </m:ctrlPr>
                </m:e>
              </m:nary>
              <m:ctrlPr>
                <w:rPr>
                  <w:rFonts w:ascii="Cambria Math" w:hAnsi="Cambria Math"/>
                  <w:sz w:val="24"/>
                  <w:szCs w:val="24"/>
                </w:rPr>
              </m:ctrlPr>
            </m:num>
            <m:den>
              <m:r>
                <m:rPr/>
                <w:rPr>
                  <w:rFonts w:ascii="Cambria Math" w:hAnsi="Cambria Math"/>
                  <w:sz w:val="24"/>
                  <w:szCs w:val="24"/>
                </w:rPr>
                <m:t>m</m:t>
              </m:r>
              <m:ctrlPr>
                <w:rPr>
                  <w:rFonts w:ascii="Cambria Math" w:hAnsi="Cambria Math"/>
                  <w:sz w:val="24"/>
                  <w:szCs w:val="24"/>
                </w:rPr>
              </m:ctrlPr>
            </m:den>
          </m:f>
        </m:oMath>
      </m:oMathPara>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宋体" w:hAnsi="宋体"/>
          <w:sz w:val="24"/>
        </w:rPr>
        <w:t>养老金个人账户虽然不能缩小收入分配差距，但是从公式中可以看出其贯彻的是多缴多得、长缴多得的基本原则。也就是说随着退休年龄的增加和计发月数的减少，个人账户养老金应该会逐步增加。</w:t>
      </w:r>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42" w:name="_Toc68789979"/>
      <w:bookmarkStart w:id="43" w:name="_Toc322714397"/>
      <w:bookmarkStart w:id="44" w:name="_Toc322713629"/>
      <w:bookmarkStart w:id="45" w:name="_Toc323033606"/>
      <w:r>
        <w:rPr>
          <w:rFonts w:hint="eastAsia" w:ascii="黑体" w:hAnsi="黑体" w:eastAsia="黑体" w:cs="宋体"/>
          <w:kern w:val="0"/>
          <w:sz w:val="24"/>
          <w:lang w:val="en-US" w:eastAsia="zh-CN"/>
        </w:rPr>
        <w:t xml:space="preserve">4.1.2  </w:t>
      </w:r>
      <w:r>
        <w:rPr>
          <w:rFonts w:hint="eastAsia" w:ascii="黑体" w:hAnsi="黑体" w:eastAsia="黑体" w:cs="宋体"/>
          <w:kern w:val="0"/>
          <w:sz w:val="24"/>
        </w:rPr>
        <w:t>基础养老金</w:t>
      </w:r>
      <m:oMath>
        <m:sSub>
          <m:sSubPr>
            <m:ctrlPr>
              <w:rPr>
                <w:rFonts w:ascii="Cambria Math" w:hAnsi="Cambria Math" w:eastAsia="黑体" w:cs="宋体"/>
                <w:kern w:val="0"/>
                <w:sz w:val="24"/>
              </w:rPr>
            </m:ctrlPr>
          </m:sSubPr>
          <m:e>
            <m:r>
              <m:rPr/>
              <w:rPr>
                <w:rFonts w:ascii="Cambria Math" w:hAnsi="Cambria Math" w:eastAsia="黑体" w:cs="宋体"/>
                <w:kern w:val="0"/>
                <w:sz w:val="24"/>
              </w:rPr>
              <m:t>B</m:t>
            </m:r>
            <m:ctrlPr>
              <w:rPr>
                <w:rFonts w:ascii="Cambria Math" w:hAnsi="Cambria Math" w:eastAsia="黑体" w:cs="宋体"/>
                <w:kern w:val="0"/>
                <w:sz w:val="24"/>
              </w:rPr>
            </m:ctrlPr>
          </m:e>
          <m:sub>
            <m:r>
              <m:rPr>
                <m:sty m:val="p"/>
              </m:rPr>
              <w:rPr>
                <w:rFonts w:ascii="Cambria Math" w:hAnsi="Cambria Math" w:eastAsia="黑体" w:cs="宋体"/>
                <w:kern w:val="0"/>
                <w:sz w:val="24"/>
              </w:rPr>
              <m:t>2</m:t>
            </m:r>
            <w:bookmarkEnd w:id="42"/>
            <w:bookmarkEnd w:id="43"/>
            <w:bookmarkEnd w:id="44"/>
            <w:bookmarkEnd w:id="45"/>
            <m:ctrlPr>
              <w:rPr>
                <w:rFonts w:ascii="Cambria Math" w:hAnsi="Cambria Math" w:eastAsia="黑体" w:cs="宋体"/>
                <w:kern w:val="0"/>
                <w:sz w:val="24"/>
              </w:rPr>
            </m:ctrlPr>
          </m:sub>
        </m:sSub>
      </m:oMath>
      <w:r>
        <w:rPr>
          <w:rFonts w:hint="eastAsia" w:ascii="黑体" w:hAnsi="黑体" w:eastAsia="黑体" w:cs="宋体"/>
          <w:kern w:val="0"/>
          <w:sz w:val="24"/>
        </w:rPr>
        <w:t xml:space="preserve"> </w:t>
      </w:r>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 xml:space="preserve">基础养老金月标准以退休时上年度省或市在岗职工月平均工资和本人指数化月平均缴费工资的平均值为基数，缴费每满一年发给1%，即基础性养老金=（参保人员退休时当地上年度在岗职工月平均工资+本人指数化月平均缴费工资）/2*缴费年限*1%。用α代表个人缴费工资指数，归纳为公式为： </w:t>
      </w:r>
    </w:p>
    <w:p>
      <w:pPr>
        <w:pStyle w:val="33"/>
        <w:ind w:left="420" w:firstLine="480"/>
        <w:jc w:val="center"/>
        <w:rPr>
          <w:rFonts w:ascii="宋体" w:hAnsi="宋体"/>
          <w:sz w:val="24"/>
          <w:szCs w:val="24"/>
        </w:rPr>
      </w:pPr>
      <w:bookmarkStart w:id="46" w:name="OLE_LINK6"/>
      <w:bookmarkStart w:id="47" w:name="OLE_LINK7"/>
      <m:oMathPara>
        <m:oMath>
          <m:sSub>
            <m:sSubPr>
              <m:ctrlPr>
                <w:rPr>
                  <w:rFonts w:ascii="Cambria Math" w:hAnsi="Cambria Math"/>
                  <w:sz w:val="24"/>
                  <w:szCs w:val="24"/>
                </w:rPr>
              </m:ctrlPr>
            </m:sSubPr>
            <m:e>
              <m:r>
                <m:rPr/>
                <w:rPr>
                  <w:rFonts w:ascii="Cambria Math" w:hAnsi="Cambria Math"/>
                  <w:sz w:val="24"/>
                  <w:szCs w:val="24"/>
                </w:rPr>
                <m:t>B</m:t>
              </m:r>
              <m:ctrlPr>
                <w:rPr>
                  <w:rFonts w:ascii="Cambria Math" w:hAnsi="Cambria Math"/>
                  <w:sz w:val="24"/>
                  <w:szCs w:val="24"/>
                </w:rPr>
              </m:ctrlPr>
            </m:e>
            <m:sub>
              <m:r>
                <m:rPr>
                  <m:sty m:val="p"/>
                </m:rPr>
                <w:rPr>
                  <w:rFonts w:ascii="Cambria Math" w:hAnsi="Cambria Math"/>
                  <w:sz w:val="24"/>
                  <w:szCs w:val="24"/>
                </w:rPr>
                <m:t>2</m:t>
              </m:r>
              <w:bookmarkEnd w:id="46"/>
              <w:bookmarkEnd w:id="47"/>
              <m:ctrlPr>
                <w:rPr>
                  <w:rFonts w:ascii="Cambria Math" w:hAnsi="Cambria Math"/>
                  <w:sz w:val="24"/>
                  <w:szCs w:val="24"/>
                </w:rPr>
              </m:ctrlP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w:rPr>
                      <w:rFonts w:ascii="Cambria Math" w:hAnsi="Cambria Math"/>
                      <w:sz w:val="24"/>
                      <w:szCs w:val="24"/>
                    </w:rPr>
                    <m:t>W</m:t>
                  </m:r>
                  <m:ctrlPr>
                    <w:rPr>
                      <w:rFonts w:ascii="Cambria Math" w:hAnsi="Cambria Math"/>
                      <w:sz w:val="24"/>
                      <w:szCs w:val="24"/>
                    </w:rPr>
                  </m:ctrlPr>
                </m:e>
                <m:sub>
                  <m:r>
                    <m:rPr/>
                    <w:rPr>
                      <w:rFonts w:ascii="Cambria Math" w:hAnsi="Cambria Math"/>
                      <w:sz w:val="24"/>
                      <w:szCs w:val="24"/>
                    </w:rPr>
                    <m:t>S</m:t>
                  </m:r>
                  <m:ctrlPr>
                    <w:rPr>
                      <w:rFonts w:ascii="Cambria Math" w:hAnsi="Cambria Math"/>
                      <w:sz w:val="24"/>
                      <w:szCs w:val="24"/>
                    </w:rPr>
                  </m:ctrlPr>
                </m:sub>
              </m:sSub>
              <m:sSup>
                <m:sSupPr>
                  <m:ctrlPr>
                    <w:rPr>
                      <w:rFonts w:ascii="Cambria Math" w:hAnsi="Cambria Math"/>
                      <w:sz w:val="24"/>
                      <w:szCs w:val="24"/>
                    </w:rPr>
                  </m:ctrlPr>
                </m:sSupPr>
                <m:e>
                  <m:r>
                    <m:rPr>
                      <m:sty m:val="p"/>
                    </m:rPr>
                    <w:rPr>
                      <w:rFonts w:ascii="Cambria Math" w:hAnsi="Cambria Math"/>
                      <w:sz w:val="24"/>
                      <w:szCs w:val="24"/>
                    </w:rPr>
                    <m:t>(1+g</m:t>
                  </m:r>
                  <m:r>
                    <m:rPr>
                      <m:sty m:val="p"/>
                    </m:rPr>
                    <w:rPr>
                      <w:rFonts w:hint="eastAsia" w:ascii="Cambria Math" w:hAnsi="Cambria Math"/>
                      <w:sz w:val="24"/>
                      <w:szCs w:val="24"/>
                    </w:rPr>
                    <m:t>+f</m:t>
                  </m:r>
                  <m:r>
                    <m:rPr>
                      <m:sty m:val="p"/>
                    </m:rPr>
                    <w:rPr>
                      <w:rFonts w:ascii="Cambria Math" w:hAnsi="Cambria Math"/>
                      <w:sz w:val="24"/>
                      <w:szCs w:val="24"/>
                    </w:rPr>
                    <m:t>)</m:t>
                  </m:r>
                  <m:ctrlPr>
                    <w:rPr>
                      <w:rFonts w:ascii="Cambria Math" w:hAnsi="Cambria Math"/>
                      <w:sz w:val="24"/>
                      <w:szCs w:val="24"/>
                    </w:rPr>
                  </m:ctrlPr>
                </m:e>
                <m:sup>
                  <m:r>
                    <m:rPr/>
                    <w:rPr>
                      <w:rFonts w:ascii="Cambria Math" w:hAnsi="Cambria Math"/>
                      <w:sz w:val="24"/>
                      <w:szCs w:val="24"/>
                    </w:rPr>
                    <m:t>N</m:t>
                  </m:r>
                  <m:r>
                    <m:rPr>
                      <m:sty m:val="p"/>
                    </m:rPr>
                    <w:rPr>
                      <w:rFonts w:ascii="Cambria Math" w:hAnsi="Cambria Math"/>
                      <w:sz w:val="24"/>
                      <w:szCs w:val="24"/>
                    </w:rPr>
                    <m:t>−1</m:t>
                  </m:r>
                  <m:ctrlPr>
                    <w:rPr>
                      <w:rFonts w:ascii="Cambria Math" w:hAnsi="Cambria Math"/>
                      <w:sz w:val="24"/>
                      <w:szCs w:val="24"/>
                    </w:rPr>
                  </m:ctrlPr>
                </m:sup>
              </m:sSup>
              <m:r>
                <m:rPr>
                  <m:sty m:val="p"/>
                </m:rPr>
                <w:rPr>
                  <w:rFonts w:ascii="Cambria Math" w:hAnsi="Cambria Math"/>
                  <w:sz w:val="24"/>
                  <w:szCs w:val="24"/>
                </w:rPr>
                <m:t>(1+α)</m:t>
              </m:r>
              <m:ctrlPr>
                <w:rPr>
                  <w:rFonts w:ascii="Cambria Math" w:hAnsi="Cambria Math"/>
                  <w:sz w:val="24"/>
                  <w:szCs w:val="24"/>
                </w:rPr>
              </m:ctrlPr>
            </m:num>
            <m:den>
              <m:r>
                <m:rPr>
                  <m:sty m:val="p"/>
                </m:rPr>
                <w:rPr>
                  <w:rFonts w:ascii="Cambria Math" w:hAnsi="Cambria Math"/>
                  <w:sz w:val="24"/>
                  <w:szCs w:val="24"/>
                </w:rPr>
                <m:t>2</m:t>
              </m:r>
              <m:ctrlPr>
                <w:rPr>
                  <w:rFonts w:ascii="Cambria Math" w:hAnsi="Cambria Math"/>
                  <w:sz w:val="24"/>
                  <w:szCs w:val="24"/>
                </w:rPr>
              </m:ctrlPr>
            </m:den>
          </m:f>
          <m:r>
            <m:rPr>
              <m:sty m:val="p"/>
            </m:rPr>
            <w:rPr>
              <w:rFonts w:ascii="Cambria Math" w:hAnsi="Cambria Math"/>
              <w:sz w:val="24"/>
              <w:szCs w:val="24"/>
            </w:rPr>
            <m:t>×</m:t>
          </m:r>
          <m:r>
            <m:rPr/>
            <w:rPr>
              <w:rFonts w:ascii="Cambria Math" w:hAnsi="Cambria Math"/>
              <w:sz w:val="24"/>
              <w:szCs w:val="24"/>
            </w:rPr>
            <m:t>N</m:t>
          </m:r>
          <m:r>
            <m:rPr>
              <m:sty m:val="p"/>
            </m:rPr>
            <w:rPr>
              <w:rFonts w:ascii="Cambria Math" w:hAnsi="Cambria Math"/>
              <w:sz w:val="24"/>
              <w:szCs w:val="24"/>
            </w:rPr>
            <m:t>×1%</m:t>
          </m:r>
        </m:oMath>
      </m:oMathPara>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个人指数化月平均缴费工资是退休前一年社会平均工资乘以个人平均缴费工资指数，从2019年开始，国家要求以全口径社会平均工资核定缴费基数的上下限，缴费工资指数规定上限不超过300%且下限不低于60%。具体缴费工资指数可参照每年个人工资和社会平均工资比值的算数平均值（这里通常意义上考虑名义工资）。个人工资的变化主要收到个人工龄工资增长率、通货膨胀率等因素的影响，而社会平均工资的增长主要依据社会的通货膨胀率、国民生产总值的影响，当考虑实际工资时还需要参考居民消费价格指数等因素。因此个人的工资增长率和社会平均工资增长率并非协同一致的，造成了缴费工资指数的变动，但是从长期来看，某职工的缴费工资指数的算数平均值可以视同是近似一致的。依据上述公式，当缴费指数为1时，就可以领取上年度社会平均工资的1%，同理可得缴费指数为下限60%的职工可以获得上年社会平均工资的0.8%、指数为上限300%的职工则可以获得2%。这种计发方式具有调节社会收入再分配来缩小收入差距的功能。</w:t>
      </w:r>
    </w:p>
    <w:p>
      <w:pPr>
        <w:spacing w:before="162" w:beforeLines="50" w:after="162" w:afterLines="50"/>
        <w:outlineLvl w:val="1"/>
        <w:rPr>
          <w:rFonts w:ascii="黑体" w:hAnsi="黑体" w:eastAsia="黑体"/>
          <w:sz w:val="28"/>
          <w:szCs w:val="28"/>
        </w:rPr>
      </w:pPr>
      <w:bookmarkStart w:id="48" w:name="_Toc68789980"/>
      <w:r>
        <w:rPr>
          <w:rFonts w:hint="eastAsia" w:ascii="黑体" w:hAnsi="黑体" w:eastAsia="黑体"/>
          <w:sz w:val="28"/>
          <w:szCs w:val="28"/>
          <w:lang w:val="en-US" w:eastAsia="zh-CN"/>
        </w:rPr>
        <w:t xml:space="preserve">4.2  </w:t>
      </w:r>
      <w:r>
        <w:rPr>
          <w:rFonts w:hint="eastAsia" w:ascii="黑体" w:hAnsi="黑体" w:eastAsia="黑体"/>
          <w:sz w:val="28"/>
          <w:szCs w:val="28"/>
        </w:rPr>
        <w:t>基本假设</w:t>
      </w:r>
      <w:bookmarkEnd w:id="48"/>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49" w:name="_Toc68789981"/>
      <w:r>
        <w:rPr>
          <w:rFonts w:hint="eastAsia" w:ascii="黑体" w:hAnsi="黑体" w:eastAsia="黑体" w:cs="宋体"/>
          <w:kern w:val="0"/>
          <w:sz w:val="24"/>
          <w:lang w:val="en-US" w:eastAsia="zh-CN"/>
        </w:rPr>
        <w:t xml:space="preserve">4.2.1  </w:t>
      </w:r>
      <w:r>
        <w:rPr>
          <w:rFonts w:hint="eastAsia" w:ascii="黑体" w:hAnsi="黑体" w:eastAsia="黑体" w:cs="宋体"/>
          <w:kern w:val="0"/>
          <w:sz w:val="24"/>
        </w:rPr>
        <w:t>个人账户缴费率</w:t>
      </w:r>
      <w:bookmarkEnd w:id="49"/>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根据《山东省人民政府关于印发山东省完善企业职工基本养老保险制度实施意见的通知》（鲁政发〔2006〕92号）中要求自2006年1月1日起逐步做实基本养老保险个人账户，在全省范围内进行做实个人账户的试点工作，本文假设全部养老金个人账户为实账。同时基本养老保险个人账户规模由11%调整为8%，全部由个人缴费形成，单位缴费不再划入个人账户,所以本文计算个人账户缴费率为8%。</w:t>
      </w:r>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50" w:name="_Toc68789982"/>
      <w:r>
        <w:rPr>
          <w:rFonts w:hint="eastAsia" w:ascii="黑体" w:hAnsi="黑体" w:eastAsia="黑体" w:cs="宋体"/>
          <w:kern w:val="0"/>
          <w:sz w:val="24"/>
          <w:lang w:val="en-US" w:eastAsia="zh-CN"/>
        </w:rPr>
        <w:t xml:space="preserve">4.2.2  </w:t>
      </w:r>
      <w:r>
        <w:rPr>
          <w:rFonts w:hint="eastAsia" w:ascii="黑体" w:hAnsi="黑体" w:eastAsia="黑体" w:cs="宋体"/>
          <w:kern w:val="0"/>
          <w:sz w:val="24"/>
        </w:rPr>
        <w:t>测算对象为2</w:t>
      </w:r>
      <w:r>
        <w:rPr>
          <w:rFonts w:ascii="黑体" w:hAnsi="黑体" w:eastAsia="黑体" w:cs="宋体"/>
          <w:kern w:val="0"/>
          <w:sz w:val="24"/>
        </w:rPr>
        <w:t>006</w:t>
      </w:r>
      <w:r>
        <w:rPr>
          <w:rFonts w:hint="eastAsia" w:ascii="黑体" w:hAnsi="黑体" w:eastAsia="黑体" w:cs="宋体"/>
          <w:kern w:val="0"/>
          <w:sz w:val="24"/>
        </w:rPr>
        <w:t>年以后的“新人”</w:t>
      </w:r>
      <w:bookmarkEnd w:id="50"/>
    </w:p>
    <w:p>
      <w:pPr>
        <w:spacing w:before="50" w:after="50" w:line="300" w:lineRule="auto"/>
        <w:ind w:firstLine="480" w:firstLineChars="200"/>
        <w:rPr>
          <w:rFonts w:ascii="宋体" w:hAnsi="宋体"/>
          <w:sz w:val="24"/>
        </w:rPr>
      </w:pPr>
      <w:r>
        <w:rPr>
          <w:rFonts w:hint="eastAsia" w:ascii="宋体" w:hAnsi="宋体"/>
          <w:sz w:val="24"/>
        </w:rPr>
        <w:t>本文只考虑从2006年1月1日开始参保的“新人”，不计算“中人”和“老人”，即初始社会平均工资采用2006年数据，不考虑过渡性养老保险的计算。为了便于计算，假设“新人”参保年限不低于15年，参保年限内缴费连续，退休后即停止缴费，研究对象退休后的存活期等于计发月数。</w:t>
      </w:r>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51" w:name="_Toc68789983"/>
      <w:r>
        <w:rPr>
          <w:rFonts w:hint="eastAsia" w:ascii="黑体" w:hAnsi="黑体" w:eastAsia="黑体" w:cs="宋体"/>
          <w:kern w:val="0"/>
          <w:sz w:val="24"/>
          <w:lang w:val="en-US" w:eastAsia="zh-CN"/>
        </w:rPr>
        <w:t xml:space="preserve">4.2.3  </w:t>
      </w:r>
      <w:r>
        <w:rPr>
          <w:rFonts w:hint="eastAsia" w:ascii="黑体" w:hAnsi="黑体" w:eastAsia="黑体" w:cs="宋体"/>
          <w:kern w:val="0"/>
          <w:sz w:val="24"/>
        </w:rPr>
        <w:t>将男性和女性职工统筹考虑</w:t>
      </w:r>
      <w:bookmarkEnd w:id="51"/>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本文将男性职工和女性职工统筹考虑，不再单独计算因为性别因素带来的工资增长率等方面的差异。由于国家下发的文件中也并未因为社会上女性平均寿命更长而将男性和女性的计发月数分开讨论，所以在本文计算中不区分性别对个别指标带来的影响认为是在参数选取方面的协调统一。</w:t>
      </w:r>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52" w:name="_Toc68789984"/>
      <w:r>
        <w:rPr>
          <w:rFonts w:hint="eastAsia" w:ascii="黑体" w:hAnsi="黑体" w:eastAsia="黑体" w:cs="宋体"/>
          <w:kern w:val="0"/>
          <w:sz w:val="24"/>
        </w:rPr>
        <w:t>4.</w:t>
      </w:r>
      <w:r>
        <w:rPr>
          <w:rFonts w:hint="eastAsia" w:ascii="黑体" w:hAnsi="黑体" w:eastAsia="黑体" w:cs="宋体"/>
          <w:kern w:val="0"/>
          <w:sz w:val="24"/>
          <w:lang w:val="en-US" w:eastAsia="zh-CN"/>
        </w:rPr>
        <w:t xml:space="preserve">2.4  </w:t>
      </w:r>
      <w:r>
        <w:rPr>
          <w:rFonts w:hint="eastAsia" w:ascii="黑体" w:hAnsi="黑体" w:eastAsia="黑体" w:cs="宋体"/>
          <w:kern w:val="0"/>
          <w:sz w:val="24"/>
        </w:rPr>
        <w:t>工资增长率、个人账户记账利率</w:t>
      </w:r>
      <w:bookmarkEnd w:id="52"/>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假设工资增长率、个人账户记账利率波动不大，即视为可以由某一算数平均值来拟合。该假设对个人职业薪资发展规律拟合情况有一定偏差。在不考虑失业情况下职工的工龄工资增长有一定的变化趋势。本文直接是用山东省城镇职工平均工资的增长率平均值来模拟某个职工的工资增长率水平一方面简化了模型的运算，另一方面避免了讨论由于个人和社会平均工资增长率变化速度不一致而产生的缴费工资指数的变化。</w:t>
      </w:r>
    </w:p>
    <w:p>
      <w:pPr>
        <w:spacing w:before="162" w:beforeLines="50" w:after="162" w:afterLines="50"/>
        <w:outlineLvl w:val="1"/>
        <w:rPr>
          <w:rFonts w:ascii="黑体" w:hAnsi="黑体" w:eastAsia="黑体"/>
          <w:sz w:val="28"/>
          <w:szCs w:val="28"/>
        </w:rPr>
      </w:pPr>
      <w:bookmarkStart w:id="53" w:name="_Toc68789985"/>
      <w:r>
        <w:rPr>
          <w:rFonts w:hint="eastAsia" w:ascii="黑体" w:hAnsi="黑体" w:eastAsia="黑体"/>
          <w:sz w:val="28"/>
          <w:szCs w:val="28"/>
          <w:lang w:val="en-US" w:eastAsia="zh-CN"/>
        </w:rPr>
        <w:t xml:space="preserve">4.3  </w:t>
      </w:r>
      <w:r>
        <w:rPr>
          <w:rFonts w:hint="eastAsia" w:ascii="黑体" w:hAnsi="黑体" w:eastAsia="黑体"/>
          <w:sz w:val="28"/>
          <w:szCs w:val="28"/>
        </w:rPr>
        <w:t>参数选取</w:t>
      </w:r>
      <w:bookmarkEnd w:id="53"/>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54" w:name="_Toc68789986"/>
      <w:r>
        <w:rPr>
          <w:rFonts w:hint="eastAsia" w:ascii="黑体" w:hAnsi="黑体" w:eastAsia="黑体" w:cs="宋体"/>
          <w:kern w:val="0"/>
          <w:sz w:val="24"/>
          <w:lang w:val="en-US" w:eastAsia="zh-CN"/>
        </w:rPr>
        <w:t xml:space="preserve">4.3.1  </w:t>
      </w:r>
      <w:r>
        <w:rPr>
          <w:rFonts w:hint="eastAsia" w:ascii="黑体" w:hAnsi="黑体" w:eastAsia="黑体" w:cs="宋体"/>
          <w:kern w:val="0"/>
          <w:sz w:val="24"/>
        </w:rPr>
        <w:t>初始年龄（</w:t>
      </w:r>
      <w:r>
        <w:rPr>
          <w:rFonts w:hint="default" w:ascii="Times New Roman" w:hAnsi="Times New Roman" w:eastAsia="黑体" w:cs="Times New Roman"/>
          <w:kern w:val="0"/>
          <w:sz w:val="24"/>
          <w:lang w:val="en-US" w:eastAsia="zh-CN"/>
        </w:rPr>
        <w:t>A</w:t>
      </w:r>
      <w:r>
        <w:rPr>
          <w:rFonts w:hint="eastAsia" w:ascii="黑体" w:hAnsi="黑体" w:eastAsia="黑体" w:cs="宋体"/>
          <w:kern w:val="0"/>
          <w:sz w:val="24"/>
        </w:rPr>
        <w:t>）和退休年龄（</w:t>
      </w:r>
      <w:r>
        <w:rPr>
          <w:rFonts w:hint="eastAsia" w:ascii="Times New Roman" w:hAnsi="Times New Roman" w:eastAsia="黑体" w:cs="Times New Roman"/>
          <w:kern w:val="0"/>
          <w:sz w:val="24"/>
          <w:lang w:val="en-US" w:eastAsia="zh-CN"/>
        </w:rPr>
        <w:t>B</w:t>
      </w:r>
      <w:r>
        <w:rPr>
          <w:rFonts w:hint="eastAsia" w:ascii="黑体" w:hAnsi="黑体" w:eastAsia="黑体" w:cs="宋体"/>
          <w:kern w:val="0"/>
          <w:sz w:val="24"/>
        </w:rPr>
        <w:t>）</w:t>
      </w:r>
      <w:bookmarkEnd w:id="54"/>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现有文献对于养老金替代率影响因素测算中，大多学者分别计算18岁、22岁、25岁、28岁开始缴纳社会保险金来探究不同初始年龄下养老金替代率的变化趋势。一方面本文侧重延迟退休对养老金替代率的影响，所以固定初始年龄相应地更好确定初始社会平均工资、工资增长率、通货膨胀率等变量，能够更好地观察因为延迟退休带来的养老金替代率的变动；另一方面考虑到不同的初始年龄往往与学历、职位、个人缴费工资水平以及个人工资增长率等方面的差异密不可分，会对交叉替代率的计算产生高度影响。所以在运算时将初始年龄固定为25岁，来探讨相同初始年龄下由于不同的缴费年限（工作年限）而带来的养老金替代率差异。</w:t>
      </w:r>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55" w:name="_Toc68789987"/>
      <w:r>
        <w:rPr>
          <w:rFonts w:hint="eastAsia" w:ascii="黑体" w:hAnsi="黑体" w:eastAsia="黑体" w:cs="宋体"/>
          <w:kern w:val="0"/>
          <w:sz w:val="24"/>
          <w:lang w:val="en-US" w:eastAsia="zh-CN"/>
        </w:rPr>
        <w:t xml:space="preserve">4.3.2  </w:t>
      </w:r>
      <w:r>
        <w:rPr>
          <w:rFonts w:hint="eastAsia" w:ascii="黑体" w:hAnsi="黑体" w:eastAsia="黑体" w:cs="宋体"/>
          <w:kern w:val="0"/>
          <w:sz w:val="24"/>
        </w:rPr>
        <w:t>个人账户记账利率（</w:t>
      </w:r>
      <w:r>
        <w:rPr>
          <w:rFonts w:hint="eastAsia" w:ascii="Times New Roman" w:hAnsi="Times New Roman" w:eastAsia="黑体" w:cs="Times New Roman"/>
          <w:kern w:val="0"/>
          <w:sz w:val="24"/>
          <w:lang w:val="en-US" w:eastAsia="zh-CN"/>
        </w:rPr>
        <w:t>I</w:t>
      </w:r>
      <w:r>
        <w:rPr>
          <w:rFonts w:hint="eastAsia" w:ascii="黑体" w:hAnsi="黑体" w:eastAsia="黑体" w:cs="宋体"/>
          <w:kern w:val="0"/>
          <w:sz w:val="24"/>
        </w:rPr>
        <w:t>）及个人缴费工资指数（</w:t>
      </w:r>
      <w:r>
        <w:rPr>
          <w:rFonts w:hint="eastAsia" w:ascii="Times New Roman" w:hAnsi="Times New Roman" w:eastAsia="黑体" w:cs="Times New Roman"/>
          <w:kern w:val="0"/>
          <w:sz w:val="24"/>
          <w:lang w:val="en-US" w:eastAsia="zh-CN"/>
        </w:rPr>
        <w:t>α</w:t>
      </w:r>
      <w:r>
        <w:rPr>
          <w:rFonts w:hint="eastAsia" w:ascii="黑体" w:hAnsi="黑体" w:eastAsia="黑体" w:cs="宋体"/>
          <w:kern w:val="0"/>
          <w:sz w:val="24"/>
        </w:rPr>
        <w:t>）</w:t>
      </w:r>
      <w:bookmarkEnd w:id="55"/>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按规定，个人账户的名义记账利率不得低于一年期银行存款利率。中国人民银行发布的2006年以来金融机构人民币一年期存款基准利率的名义年利率复合值为2.90%。参考鲁人社办发〔2015〕88号中山东省2015年记账利率为4.25%，本文计算记账利率时综合考虑选取3%。个人缴费工资指数α选取1</w:t>
      </w:r>
      <w:r>
        <w:rPr>
          <w:rFonts w:ascii="宋体" w:hAnsi="宋体"/>
          <w:sz w:val="24"/>
        </w:rPr>
        <w:t>00</w:t>
      </w:r>
      <w:r>
        <w:rPr>
          <w:rFonts w:hint="eastAsia" w:ascii="宋体" w:hAnsi="宋体"/>
          <w:sz w:val="24"/>
        </w:rPr>
        <w:t>%。</w:t>
      </w:r>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56" w:name="_Toc68789988"/>
      <w:r>
        <w:rPr>
          <w:rFonts w:hint="eastAsia" w:ascii="黑体" w:hAnsi="黑体" w:eastAsia="黑体" w:cs="宋体"/>
          <w:kern w:val="0"/>
          <w:sz w:val="24"/>
          <w:lang w:val="en-US" w:eastAsia="zh-CN"/>
        </w:rPr>
        <w:t xml:space="preserve">4.3.3  </w:t>
      </w:r>
      <w:r>
        <w:rPr>
          <w:rFonts w:hint="eastAsia" w:ascii="黑体" w:hAnsi="黑体" w:eastAsia="黑体" w:cs="宋体"/>
          <w:kern w:val="0"/>
          <w:sz w:val="24"/>
        </w:rPr>
        <w:t>通货膨胀率（</w:t>
      </w:r>
      <w:r>
        <w:rPr>
          <w:rFonts w:hint="eastAsia" w:ascii="Times New Roman" w:hAnsi="Times New Roman" w:eastAsia="黑体" w:cs="Times New Roman"/>
          <w:kern w:val="0"/>
          <w:sz w:val="24"/>
          <w:lang w:val="en-US" w:eastAsia="zh-CN"/>
        </w:rPr>
        <w:t>F</w:t>
      </w:r>
      <w:r>
        <w:rPr>
          <w:rFonts w:hint="eastAsia" w:ascii="黑体" w:hAnsi="黑体" w:eastAsia="黑体" w:cs="宋体"/>
          <w:kern w:val="0"/>
          <w:sz w:val="24"/>
        </w:rPr>
        <w:t>）</w:t>
      </w:r>
      <w:bookmarkEnd w:id="56"/>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由于山东省历年通货膨胀率数据不足且计算口径略有差异，所以此处采取2006年至2017年全国通货膨胀率平均值3.5%。</w:t>
      </w:r>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57" w:name="_Toc68789989"/>
      <w:r>
        <w:rPr>
          <w:rFonts w:hint="eastAsia" w:ascii="黑体" w:hAnsi="黑体" w:eastAsia="黑体" w:cs="宋体"/>
          <w:kern w:val="0"/>
          <w:sz w:val="24"/>
        </w:rPr>
        <w:t>4.</w:t>
      </w:r>
      <w:r>
        <w:rPr>
          <w:rFonts w:hint="eastAsia" w:ascii="黑体" w:hAnsi="黑体" w:eastAsia="黑体" w:cs="宋体"/>
          <w:kern w:val="0"/>
          <w:sz w:val="24"/>
          <w:lang w:val="en-US" w:eastAsia="zh-CN"/>
        </w:rPr>
        <w:t xml:space="preserve">3.4  </w:t>
      </w:r>
      <w:r>
        <w:rPr>
          <w:rFonts w:hint="eastAsia" w:ascii="黑体" w:hAnsi="黑体" w:eastAsia="黑体" w:cs="宋体"/>
          <w:kern w:val="0"/>
          <w:sz w:val="24"/>
        </w:rPr>
        <w:t>工资增长率（</w:t>
      </w:r>
      <w:r>
        <w:rPr>
          <w:rFonts w:hint="eastAsia" w:ascii="Times New Roman" w:hAnsi="Times New Roman" w:eastAsia="黑体" w:cs="Times New Roman"/>
          <w:kern w:val="0"/>
          <w:sz w:val="24"/>
          <w:lang w:val="en-US" w:eastAsia="zh-CN"/>
        </w:rPr>
        <w:t>G</w:t>
      </w:r>
      <w:r>
        <w:rPr>
          <w:rFonts w:hint="eastAsia" w:ascii="黑体" w:hAnsi="黑体" w:eastAsia="黑体" w:cs="宋体"/>
          <w:kern w:val="0"/>
          <w:sz w:val="24"/>
        </w:rPr>
        <w:t>）</w:t>
      </w:r>
      <w:bookmarkEnd w:id="57"/>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根据从2005年至2019年山东省人力资源和社会保障厅公布的城镇单位在岗职工平均工资数据整理，发现城镇职工平均工资逐年上升，工资增长率的帕氏指数整体呈现轻微下降趋势，但是由于样本数据较少难以找到合适的分布拟合。根据工资增长率的拉氏指数（以2005年为基期）的折线图，认为工资增长率属于非线性趋势时间序列，用</w:t>
      </w:r>
      <w:r>
        <w:rPr>
          <w:rFonts w:hint="eastAsia" w:ascii="Times New Roman" w:hAnsi="Times New Roman" w:cs="Times New Roman"/>
          <w:sz w:val="24"/>
        </w:rPr>
        <w:t>FORECAST.EST</w:t>
      </w:r>
      <w:r>
        <w:rPr>
          <w:rFonts w:hint="eastAsia" w:ascii="宋体" w:hAnsi="宋体"/>
          <w:sz w:val="24"/>
        </w:rPr>
        <w:t>函数和</w:t>
      </w:r>
      <w:r>
        <w:rPr>
          <w:rFonts w:hint="eastAsia" w:ascii="Times New Roman" w:hAnsi="Times New Roman" w:cs="Times New Roman"/>
          <w:sz w:val="24"/>
        </w:rPr>
        <w:t>GROWTH</w:t>
      </w:r>
      <w:r>
        <w:rPr>
          <w:rFonts w:hint="eastAsia" w:ascii="宋体" w:hAnsi="宋体"/>
          <w:sz w:val="24"/>
        </w:rPr>
        <w:t>函数对2020年到2046年进行预测再求平均分别得到7.10%和7.45%。考虑到政府的财富再分配过程中会向劳动者适度倾斜，所以本文取8%作为工资增长率。</w:t>
      </w:r>
    </w:p>
    <w:p>
      <w:pPr>
        <w:spacing w:before="162" w:beforeLines="50" w:after="162" w:afterLines="50"/>
        <w:outlineLvl w:val="1"/>
        <w:rPr>
          <w:rFonts w:ascii="黑体" w:hAnsi="黑体" w:eastAsia="黑体"/>
          <w:sz w:val="28"/>
          <w:szCs w:val="28"/>
        </w:rPr>
      </w:pPr>
      <w:bookmarkStart w:id="58" w:name="_Toc68789991"/>
      <w:r>
        <w:rPr>
          <w:rFonts w:hint="eastAsia" w:ascii="黑体" w:hAnsi="黑体" w:eastAsia="黑体"/>
          <w:sz w:val="28"/>
          <w:szCs w:val="28"/>
          <w:lang w:val="en-US" w:eastAsia="zh-CN"/>
        </w:rPr>
        <w:t xml:space="preserve">4.4  </w:t>
      </w:r>
      <w:r>
        <w:rPr>
          <w:rFonts w:hint="eastAsia" w:ascii="黑体" w:hAnsi="黑体" w:eastAsia="黑体"/>
          <w:sz w:val="28"/>
          <w:szCs w:val="28"/>
        </w:rPr>
        <w:t>实证分析</w:t>
      </w:r>
      <w:bookmarkEnd w:id="58"/>
    </w:p>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59" w:name="_Toc68789992"/>
      <w:r>
        <w:rPr>
          <w:rFonts w:hint="eastAsia" w:ascii="黑体" w:hAnsi="黑体" w:eastAsia="黑体" w:cs="宋体"/>
          <w:kern w:val="0"/>
          <w:sz w:val="24"/>
          <w:lang w:val="en-US" w:eastAsia="zh-CN"/>
        </w:rPr>
        <w:t xml:space="preserve">4.4.1 </w:t>
      </w:r>
      <w:r>
        <w:rPr>
          <w:rFonts w:hint="eastAsia"/>
        </w:rPr>
        <w:t xml:space="preserve"> </w:t>
      </w:r>
      <w:r>
        <w:rPr>
          <w:rFonts w:hint="eastAsia" w:ascii="黑体" w:hAnsi="黑体" w:eastAsia="黑体" w:cs="宋体"/>
          <w:kern w:val="0"/>
          <w:sz w:val="24"/>
        </w:rPr>
        <w:t>按照规定计发月数，延迟退休年龄对养老金替代率有正向影响</w:t>
      </w:r>
      <w:bookmarkEnd w:id="59"/>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在上述假设条件下，依据已有的参数带入公式计算得到25岁开始参保职工分别在40岁、45岁、50岁、55岁、60岁、65岁、70岁退休获得的基本养老金替代率如下。可以验证上文中关于养老保险替代率随着延迟退休年龄的增长而增加的观点是正确的。例如，现行退休政策下一名25岁入职的男性职工60岁退休时，在139个月的计发月数条件下享受到的养老金待遇并不能达到退休前一年的社会平均工资的半数，但如果我国实施延迟退休政策，将退休年龄延长到65岁，该职工可以多获得五年的工资及相应工资增长率的同时还可以在退休后享受到更好的养老待遇。</w:t>
      </w:r>
    </w:p>
    <w:p>
      <w:pPr>
        <w:autoSpaceDE w:val="0"/>
        <w:autoSpaceDN w:val="0"/>
        <w:adjustRightInd w:val="0"/>
        <w:spacing w:before="162" w:beforeLines="50" w:after="162" w:afterLines="50"/>
        <w:ind w:firstLine="420" w:firstLineChars="200"/>
        <w:jc w:val="center"/>
        <w:rPr>
          <w:rFonts w:ascii="楷体_GB2312" w:hAnsi="宋体" w:eastAsia="楷体_GB2312" w:cs="AdobeSongStd-Light"/>
          <w:kern w:val="0"/>
          <w:sz w:val="24"/>
        </w:rPr>
      </w:pPr>
      <w:r>
        <w:rPr>
          <w:rFonts w:hint="eastAsia" w:ascii="宋体" w:hAnsi="宋体" w:eastAsia="宋体" w:cs="宋体"/>
          <w:kern w:val="0"/>
          <w:sz w:val="21"/>
          <w:szCs w:val="21"/>
        </w:rPr>
        <w:t>表4-1 不同年龄下的养老金替代率（假设职工25岁入职）</w:t>
      </w:r>
    </w:p>
    <w:tbl>
      <w:tblPr>
        <w:tblStyle w:val="14"/>
        <w:tblW w:w="8505" w:type="dxa"/>
        <w:jc w:val="center"/>
        <w:tblLayout w:type="autofit"/>
        <w:tblCellMar>
          <w:top w:w="0" w:type="dxa"/>
          <w:left w:w="108" w:type="dxa"/>
          <w:bottom w:w="0" w:type="dxa"/>
          <w:right w:w="108" w:type="dxa"/>
        </w:tblCellMar>
      </w:tblPr>
      <w:tblGrid>
        <w:gridCol w:w="1701"/>
        <w:gridCol w:w="1701"/>
        <w:gridCol w:w="1701"/>
        <w:gridCol w:w="1701"/>
        <w:gridCol w:w="1701"/>
      </w:tblGrid>
      <w:tr>
        <w:tblPrEx>
          <w:tblCellMar>
            <w:top w:w="0" w:type="dxa"/>
            <w:left w:w="108" w:type="dxa"/>
            <w:bottom w:w="0" w:type="dxa"/>
            <w:right w:w="108" w:type="dxa"/>
          </w:tblCellMar>
        </w:tblPrEx>
        <w:trPr>
          <w:trHeight w:val="560" w:hRule="atLeast"/>
          <w:jc w:val="center"/>
        </w:trPr>
        <w:tc>
          <w:tcPr>
            <w:tcW w:w="1701" w:type="dxa"/>
            <w:tcBorders>
              <w:top w:val="single" w:color="auto" w:sz="4" w:space="0"/>
              <w:left w:val="single" w:color="auto" w:sz="4" w:space="0"/>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b/>
                <w:bCs/>
                <w:kern w:val="0"/>
                <w:szCs w:val="21"/>
              </w:rPr>
            </w:pPr>
            <w:r>
              <w:rPr>
                <w:rFonts w:hint="eastAsia" w:ascii="宋体" w:hAnsi="宋体" w:cs="Courier+ZCLC88-1"/>
                <w:b/>
                <w:bCs/>
                <w:kern w:val="0"/>
                <w:szCs w:val="21"/>
              </w:rPr>
              <w:t>退休年龄</w:t>
            </w:r>
          </w:p>
        </w:tc>
        <w:tc>
          <w:tcPr>
            <w:tcW w:w="1701" w:type="dxa"/>
            <w:tcBorders>
              <w:top w:val="single" w:color="auto" w:sz="4" w:space="0"/>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b/>
                <w:bCs/>
                <w:kern w:val="0"/>
                <w:szCs w:val="21"/>
              </w:rPr>
            </w:pPr>
            <w:r>
              <w:rPr>
                <w:rFonts w:hint="eastAsia" w:ascii="宋体" w:hAnsi="宋体" w:cs="Courier+ZCLC88-1"/>
                <w:b/>
                <w:bCs/>
                <w:kern w:val="0"/>
                <w:szCs w:val="21"/>
              </w:rPr>
              <w:t>缴费年数</w:t>
            </w:r>
          </w:p>
        </w:tc>
        <w:tc>
          <w:tcPr>
            <w:tcW w:w="1701" w:type="dxa"/>
            <w:tcBorders>
              <w:top w:val="single" w:color="auto" w:sz="4" w:space="0"/>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jc w:val="center"/>
              <w:rPr>
                <w:rFonts w:ascii="宋体" w:hAnsi="宋体" w:cs="Courier+ZCLC88-1"/>
                <w:b/>
                <w:bCs/>
                <w:kern w:val="0"/>
                <w:szCs w:val="21"/>
              </w:rPr>
            </w:pPr>
            <w:r>
              <w:rPr>
                <w:rFonts w:hint="eastAsia" w:ascii="宋体" w:hAnsi="宋体" w:cs="Courier+ZCLC88-1"/>
                <w:b/>
                <w:bCs/>
                <w:kern w:val="0"/>
                <w:szCs w:val="21"/>
              </w:rPr>
              <w:t>计发月数</w:t>
            </w:r>
          </w:p>
        </w:tc>
        <w:tc>
          <w:tcPr>
            <w:tcW w:w="1701" w:type="dxa"/>
            <w:tcBorders>
              <w:top w:val="single" w:color="auto" w:sz="4" w:space="0"/>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b/>
                <w:bCs/>
                <w:kern w:val="0"/>
                <w:szCs w:val="21"/>
              </w:rPr>
            </w:pPr>
            <w:r>
              <w:rPr>
                <w:rFonts w:hint="eastAsia" w:ascii="宋体" w:hAnsi="宋体" w:cs="Courier+ZCLC88-1"/>
                <w:b/>
                <w:bCs/>
                <w:kern w:val="0"/>
                <w:szCs w:val="21"/>
              </w:rPr>
              <w:t>个人账户替代率</w:t>
            </w:r>
          </w:p>
        </w:tc>
        <w:tc>
          <w:tcPr>
            <w:tcW w:w="1701" w:type="dxa"/>
            <w:tcBorders>
              <w:top w:val="single" w:color="auto" w:sz="4" w:space="0"/>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b/>
                <w:bCs/>
                <w:kern w:val="0"/>
                <w:szCs w:val="21"/>
              </w:rPr>
            </w:pPr>
            <w:r>
              <w:rPr>
                <w:rFonts w:hint="eastAsia" w:ascii="宋体" w:hAnsi="宋体" w:cs="Courier+ZCLC88-1"/>
                <w:b/>
                <w:bCs/>
                <w:kern w:val="0"/>
                <w:szCs w:val="21"/>
              </w:rPr>
              <w:t>养老金替代率</w:t>
            </w:r>
          </w:p>
        </w:tc>
      </w:tr>
      <w:tr>
        <w:tblPrEx>
          <w:tblCellMar>
            <w:top w:w="0" w:type="dxa"/>
            <w:left w:w="108" w:type="dxa"/>
            <w:bottom w:w="0" w:type="dxa"/>
            <w:right w:w="108" w:type="dxa"/>
          </w:tblCellMar>
        </w:tblPrEx>
        <w:trPr>
          <w:trHeight w:val="280" w:hRule="atLeast"/>
          <w:jc w:val="center"/>
        </w:trPr>
        <w:tc>
          <w:tcPr>
            <w:tcW w:w="1701" w:type="dxa"/>
            <w:tcBorders>
              <w:top w:val="nil"/>
              <w:left w:val="single" w:color="auto" w:sz="4" w:space="0"/>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40</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15</w:t>
            </w:r>
          </w:p>
        </w:tc>
        <w:tc>
          <w:tcPr>
            <w:tcW w:w="1701" w:type="dxa"/>
            <w:tcBorders>
              <w:top w:val="nil"/>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233</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3.97%</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18.97%</w:t>
            </w:r>
          </w:p>
        </w:tc>
      </w:tr>
      <w:tr>
        <w:tblPrEx>
          <w:tblCellMar>
            <w:top w:w="0" w:type="dxa"/>
            <w:left w:w="108" w:type="dxa"/>
            <w:bottom w:w="0" w:type="dxa"/>
            <w:right w:w="108" w:type="dxa"/>
          </w:tblCellMar>
        </w:tblPrEx>
        <w:trPr>
          <w:trHeight w:val="280" w:hRule="atLeast"/>
          <w:jc w:val="center"/>
        </w:trPr>
        <w:tc>
          <w:tcPr>
            <w:tcW w:w="1701" w:type="dxa"/>
            <w:tcBorders>
              <w:top w:val="nil"/>
              <w:left w:val="single" w:color="auto" w:sz="4" w:space="0"/>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45</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20</w:t>
            </w:r>
          </w:p>
        </w:tc>
        <w:tc>
          <w:tcPr>
            <w:tcW w:w="1701" w:type="dxa"/>
            <w:tcBorders>
              <w:top w:val="nil"/>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216</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4.93%</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24.93%</w:t>
            </w:r>
          </w:p>
        </w:tc>
      </w:tr>
      <w:tr>
        <w:tblPrEx>
          <w:tblCellMar>
            <w:top w:w="0" w:type="dxa"/>
            <w:left w:w="108" w:type="dxa"/>
            <w:bottom w:w="0" w:type="dxa"/>
            <w:right w:w="108" w:type="dxa"/>
          </w:tblCellMar>
        </w:tblPrEx>
        <w:trPr>
          <w:trHeight w:val="280" w:hRule="atLeast"/>
          <w:jc w:val="center"/>
        </w:trPr>
        <w:tc>
          <w:tcPr>
            <w:tcW w:w="1701" w:type="dxa"/>
            <w:tcBorders>
              <w:top w:val="nil"/>
              <w:left w:val="single" w:color="auto" w:sz="4" w:space="0"/>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50</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25</w:t>
            </w:r>
          </w:p>
        </w:tc>
        <w:tc>
          <w:tcPr>
            <w:tcW w:w="1701" w:type="dxa"/>
            <w:tcBorders>
              <w:top w:val="nil"/>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195</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5.95%</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30.95%</w:t>
            </w:r>
          </w:p>
        </w:tc>
      </w:tr>
      <w:tr>
        <w:tblPrEx>
          <w:tblCellMar>
            <w:top w:w="0" w:type="dxa"/>
            <w:left w:w="108" w:type="dxa"/>
            <w:bottom w:w="0" w:type="dxa"/>
            <w:right w:w="108" w:type="dxa"/>
          </w:tblCellMar>
        </w:tblPrEx>
        <w:trPr>
          <w:trHeight w:val="280" w:hRule="atLeast"/>
          <w:jc w:val="center"/>
        </w:trPr>
        <w:tc>
          <w:tcPr>
            <w:tcW w:w="1701" w:type="dxa"/>
            <w:tcBorders>
              <w:top w:val="nil"/>
              <w:left w:val="single" w:color="auto" w:sz="4" w:space="0"/>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55</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30</w:t>
            </w:r>
          </w:p>
        </w:tc>
        <w:tc>
          <w:tcPr>
            <w:tcW w:w="1701" w:type="dxa"/>
            <w:tcBorders>
              <w:top w:val="nil"/>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170</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7.21%</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37.21%</w:t>
            </w:r>
          </w:p>
        </w:tc>
      </w:tr>
      <w:tr>
        <w:tblPrEx>
          <w:tblCellMar>
            <w:top w:w="0" w:type="dxa"/>
            <w:left w:w="108" w:type="dxa"/>
            <w:bottom w:w="0" w:type="dxa"/>
            <w:right w:w="108" w:type="dxa"/>
          </w:tblCellMar>
        </w:tblPrEx>
        <w:trPr>
          <w:trHeight w:val="280" w:hRule="atLeast"/>
          <w:jc w:val="center"/>
        </w:trPr>
        <w:tc>
          <w:tcPr>
            <w:tcW w:w="1701" w:type="dxa"/>
            <w:tcBorders>
              <w:top w:val="nil"/>
              <w:left w:val="single" w:color="auto" w:sz="4" w:space="0"/>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60</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35</w:t>
            </w:r>
          </w:p>
        </w:tc>
        <w:tc>
          <w:tcPr>
            <w:tcW w:w="1701" w:type="dxa"/>
            <w:tcBorders>
              <w:top w:val="nil"/>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139</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9.15%</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44.15%</w:t>
            </w:r>
          </w:p>
        </w:tc>
      </w:tr>
      <w:tr>
        <w:tblPrEx>
          <w:tblCellMar>
            <w:top w:w="0" w:type="dxa"/>
            <w:left w:w="108" w:type="dxa"/>
            <w:bottom w:w="0" w:type="dxa"/>
            <w:right w:w="108" w:type="dxa"/>
          </w:tblCellMar>
        </w:tblPrEx>
        <w:trPr>
          <w:trHeight w:val="280" w:hRule="atLeast"/>
          <w:jc w:val="center"/>
        </w:trPr>
        <w:tc>
          <w:tcPr>
            <w:tcW w:w="1701" w:type="dxa"/>
            <w:tcBorders>
              <w:top w:val="nil"/>
              <w:left w:val="single" w:color="auto" w:sz="4" w:space="0"/>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65</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40</w:t>
            </w:r>
          </w:p>
        </w:tc>
        <w:tc>
          <w:tcPr>
            <w:tcW w:w="1701" w:type="dxa"/>
            <w:tcBorders>
              <w:top w:val="nil"/>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101</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12.90%</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52.90%</w:t>
            </w:r>
          </w:p>
        </w:tc>
      </w:tr>
      <w:tr>
        <w:tblPrEx>
          <w:tblCellMar>
            <w:top w:w="0" w:type="dxa"/>
            <w:left w:w="108" w:type="dxa"/>
            <w:bottom w:w="0" w:type="dxa"/>
            <w:right w:w="108" w:type="dxa"/>
          </w:tblCellMar>
        </w:tblPrEx>
        <w:trPr>
          <w:trHeight w:val="280" w:hRule="atLeast"/>
          <w:jc w:val="center"/>
        </w:trPr>
        <w:tc>
          <w:tcPr>
            <w:tcW w:w="1701" w:type="dxa"/>
            <w:tcBorders>
              <w:top w:val="nil"/>
              <w:left w:val="single" w:color="auto" w:sz="4" w:space="0"/>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70</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45</w:t>
            </w:r>
          </w:p>
        </w:tc>
        <w:tc>
          <w:tcPr>
            <w:tcW w:w="1701" w:type="dxa"/>
            <w:tcBorders>
              <w:top w:val="nil"/>
              <w:left w:val="nil"/>
              <w:bottom w:val="single" w:color="auto" w:sz="4" w:space="0"/>
              <w:right w:val="single" w:color="auto" w:sz="4" w:space="0"/>
            </w:tcBorders>
            <w:shd w:val="clear" w:color="000000" w:fill="FFFFFF"/>
            <w:vAlign w:val="center"/>
          </w:tcPr>
          <w:p>
            <w:pPr>
              <w:autoSpaceDE w:val="0"/>
              <w:autoSpaceDN w:val="0"/>
              <w:adjustRightInd w:val="0"/>
              <w:spacing w:line="300" w:lineRule="auto"/>
              <w:jc w:val="center"/>
              <w:rPr>
                <w:rFonts w:ascii="宋体" w:hAnsi="宋体" w:cs="Courier+ZCLC88-1"/>
                <w:kern w:val="0"/>
                <w:szCs w:val="21"/>
              </w:rPr>
            </w:pPr>
            <w:r>
              <w:rPr>
                <w:rFonts w:ascii="宋体" w:hAnsi="宋体" w:cs="Courier+ZCLC88-1"/>
                <w:kern w:val="0"/>
                <w:szCs w:val="21"/>
              </w:rPr>
              <w:t>56</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23.65%</w:t>
            </w:r>
          </w:p>
        </w:tc>
        <w:tc>
          <w:tcPr>
            <w:tcW w:w="1701" w:type="dxa"/>
            <w:tcBorders>
              <w:top w:val="nil"/>
              <w:left w:val="nil"/>
              <w:bottom w:val="single" w:color="auto" w:sz="4" w:space="0"/>
              <w:right w:val="single" w:color="auto" w:sz="4" w:space="0"/>
            </w:tcBorders>
            <w:shd w:val="clear" w:color="000000" w:fill="FFFFFF"/>
            <w:noWrap/>
            <w:vAlign w:val="center"/>
          </w:tcPr>
          <w:p>
            <w:pPr>
              <w:autoSpaceDE w:val="0"/>
              <w:autoSpaceDN w:val="0"/>
              <w:adjustRightInd w:val="0"/>
              <w:spacing w:line="300" w:lineRule="auto"/>
              <w:ind w:firstLine="420" w:firstLineChars="200"/>
              <w:rPr>
                <w:rFonts w:ascii="宋体" w:hAnsi="宋体" w:cs="Courier+ZCLC88-1"/>
                <w:kern w:val="0"/>
                <w:szCs w:val="21"/>
              </w:rPr>
            </w:pPr>
            <w:r>
              <w:rPr>
                <w:rFonts w:hint="eastAsia" w:ascii="宋体" w:hAnsi="宋体" w:cs="Courier+ZCLC88-1"/>
                <w:kern w:val="0"/>
                <w:szCs w:val="21"/>
              </w:rPr>
              <w:t>68.65%</w:t>
            </w:r>
          </w:p>
        </w:tc>
      </w:tr>
    </w:tbl>
    <w:p>
      <w:pPr>
        <w:autoSpaceDE w:val="0"/>
        <w:autoSpaceDN w:val="0"/>
        <w:adjustRightInd w:val="0"/>
        <w:spacing w:before="162" w:beforeLines="50" w:after="162" w:afterLines="50"/>
        <w:ind w:firstLine="480" w:firstLineChars="200"/>
        <w:jc w:val="left"/>
        <w:outlineLvl w:val="2"/>
        <w:rPr>
          <w:rFonts w:ascii="黑体" w:hAnsi="黑体" w:eastAsia="黑体" w:cs="宋体"/>
          <w:kern w:val="0"/>
          <w:sz w:val="24"/>
        </w:rPr>
      </w:pPr>
      <w:bookmarkStart w:id="60" w:name="_Toc68789993"/>
      <w:r>
        <w:rPr>
          <w:rFonts w:hint="eastAsia" w:ascii="黑体" w:hAnsi="黑体" w:eastAsia="黑体" w:cs="宋体"/>
          <w:kern w:val="0"/>
          <w:sz w:val="24"/>
          <w:lang w:val="en-US" w:eastAsia="zh-CN"/>
        </w:rPr>
        <w:t xml:space="preserve">4.4.2 </w:t>
      </w:r>
      <w:r>
        <w:rPr>
          <w:rFonts w:hint="eastAsia" w:ascii="黑体" w:hAnsi="黑体" w:eastAsia="黑体" w:cs="宋体"/>
          <w:kern w:val="0"/>
          <w:sz w:val="24"/>
        </w:rPr>
        <w:t xml:space="preserve"> 对于60岁退休的职工，延长计发月数导致替代率下降</w:t>
      </w:r>
      <w:bookmarkEnd w:id="60"/>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楷体_GB2312" w:hAnsi="宋体" w:eastAsia="楷体_GB2312" w:cs="AdobeSongStd-Light"/>
          <w:kern w:val="0"/>
          <w:sz w:val="24"/>
        </w:rPr>
      </w:pPr>
      <w:r>
        <w:rPr>
          <w:rFonts w:hint="eastAsia" w:ascii="宋体" w:hAnsi="宋体"/>
          <w:sz w:val="24"/>
        </w:rPr>
        <w:t>现行退休政策下，男性职工60岁退休，按照《决定》中计发月数为139个月，约计发到该职工71.58岁时。该计算方式符合文件颁布时我国男性的人均预期寿命，但是考虑到山东省目前的实际情况，2018年山东省男性平均寿命76.48岁，山东人均预期寿命78.66岁，显然远超出原文件中计划的计发月数。所以以下列出60岁退休时，延长计发月数对养老金替代率产生的影响。该测算以文件中给出的139个月为参照标准，从140个月开始以5个月为步长延长计发月数。由于基础养老金替代率完全取决于个人缴费工资指数，并且同比例、同方向变动，下表为了突出计发月数对替代率的影响，所以带入缴费工资指数100%，不随计发月数增加而波动。</w:t>
      </w:r>
    </w:p>
    <w:p>
      <w:pPr>
        <w:autoSpaceDE w:val="0"/>
        <w:autoSpaceDN w:val="0"/>
        <w:adjustRightInd w:val="0"/>
        <w:spacing w:before="162" w:beforeLines="50" w:after="162" w:afterLines="50"/>
        <w:ind w:firstLine="420" w:firstLineChars="200"/>
        <w:jc w:val="center"/>
        <w:rPr>
          <w:rFonts w:ascii="楷体_GB2312" w:hAnsi="宋体" w:eastAsia="楷体_GB2312" w:cs="AdobeSongStd-Light"/>
          <w:kern w:val="0"/>
          <w:sz w:val="24"/>
        </w:rPr>
      </w:pPr>
      <w:r>
        <w:rPr>
          <w:rFonts w:hint="eastAsia" w:ascii="宋体" w:hAnsi="宋体" w:eastAsia="宋体" w:cs="宋体"/>
          <w:kern w:val="0"/>
          <w:sz w:val="21"/>
          <w:szCs w:val="21"/>
        </w:rPr>
        <w:t>表4-2 不同计发月数下的养老金替代率（60岁退休员工）</w:t>
      </w:r>
    </w:p>
    <w:tbl>
      <w:tblPr>
        <w:tblStyle w:val="14"/>
        <w:tblW w:w="8505" w:type="dxa"/>
        <w:jc w:val="center"/>
        <w:tblLayout w:type="autofit"/>
        <w:tblCellMar>
          <w:top w:w="0" w:type="dxa"/>
          <w:left w:w="108" w:type="dxa"/>
          <w:bottom w:w="0" w:type="dxa"/>
          <w:right w:w="108" w:type="dxa"/>
        </w:tblCellMar>
      </w:tblPr>
      <w:tblGrid>
        <w:gridCol w:w="1701"/>
        <w:gridCol w:w="1701"/>
        <w:gridCol w:w="1701"/>
        <w:gridCol w:w="1701"/>
        <w:gridCol w:w="1701"/>
      </w:tblGrid>
      <w:tr>
        <w:tblPrEx>
          <w:tblCellMar>
            <w:top w:w="0" w:type="dxa"/>
            <w:left w:w="108" w:type="dxa"/>
            <w:bottom w:w="0" w:type="dxa"/>
            <w:right w:w="108" w:type="dxa"/>
          </w:tblCellMar>
        </w:tblPrEx>
        <w:trPr>
          <w:trHeight w:val="1130" w:hRule="atLeast"/>
          <w:jc w:val="center"/>
        </w:trPr>
        <w:tc>
          <w:tcPr>
            <w:tcW w:w="1701" w:type="dxa"/>
            <w:tcBorders>
              <w:top w:val="single" w:color="auto" w:sz="4" w:space="0"/>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60岁退休职工计发月数</w:t>
            </w:r>
          </w:p>
        </w:tc>
        <w:tc>
          <w:tcPr>
            <w:tcW w:w="1701" w:type="dxa"/>
            <w:tcBorders>
              <w:top w:val="single" w:color="auto" w:sz="4" w:space="0"/>
              <w:left w:val="nil"/>
              <w:bottom w:val="single" w:color="auto" w:sz="4" w:space="0"/>
              <w:right w:val="single" w:color="auto" w:sz="4" w:space="0"/>
            </w:tcBorders>
            <w:shd w:val="clear" w:color="auto" w:fill="auto"/>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对应预期寿命</w:t>
            </w:r>
          </w:p>
        </w:tc>
        <w:tc>
          <w:tcPr>
            <w:tcW w:w="1701" w:type="dxa"/>
            <w:tcBorders>
              <w:top w:val="single" w:color="auto" w:sz="4" w:space="0"/>
              <w:left w:val="nil"/>
              <w:bottom w:val="single" w:color="auto" w:sz="4" w:space="0"/>
              <w:right w:val="single" w:color="auto" w:sz="4" w:space="0"/>
            </w:tcBorders>
            <w:shd w:val="clear" w:color="auto" w:fill="auto"/>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个人账户月发养老金</w:t>
            </w:r>
          </w:p>
        </w:tc>
        <w:tc>
          <w:tcPr>
            <w:tcW w:w="1701" w:type="dxa"/>
            <w:tcBorders>
              <w:top w:val="single" w:color="auto" w:sz="4" w:space="0"/>
              <w:left w:val="nil"/>
              <w:bottom w:val="single" w:color="auto" w:sz="4" w:space="0"/>
              <w:right w:val="single" w:color="auto" w:sz="4" w:space="0"/>
            </w:tcBorders>
            <w:shd w:val="clear" w:color="auto" w:fill="auto"/>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个人账户替代率</w:t>
            </w:r>
          </w:p>
        </w:tc>
        <w:tc>
          <w:tcPr>
            <w:tcW w:w="1701" w:type="dxa"/>
            <w:tcBorders>
              <w:top w:val="single" w:color="auto" w:sz="4" w:space="0"/>
              <w:left w:val="nil"/>
              <w:bottom w:val="single" w:color="auto" w:sz="4" w:space="0"/>
              <w:right w:val="single" w:color="auto" w:sz="4" w:space="0"/>
            </w:tcBorders>
            <w:shd w:val="clear" w:color="auto" w:fill="auto"/>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基本养老金替代率</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139</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71.58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5095.26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9.15%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44.15%</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140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71.67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5058.86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9.08%</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44.08%</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145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72.08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4884.42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8.77%</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43.77%</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150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72.50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4721.60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8.48%</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43.48%</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155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72.92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4569.29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8.21%</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43.21%</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160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73.33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4426.50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7.95%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42.95%</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165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73.75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4292.37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7.71%</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42.71%</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170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74.17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4166.12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7.48%</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42.48%</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175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74.58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4047.09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7.27%</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42.27%</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180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75.00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3934.67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7.07%</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42.07%</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185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75.42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3828.33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6.88%</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41.88%</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190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75.83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3727.58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6.69%</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41.69%</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195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76.25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3632.00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6.52%</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41.52%</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200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76.67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3541.20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6.36%</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41.36%</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205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77.08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3454.83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6.20%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41.20%</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210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77.50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3372.57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6.06%</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41.06%</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215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77.92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3294.14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5.92%</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40.92%</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220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78.33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3219.28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5.78%</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40.78%</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225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78.75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3147.74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5.65%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40.65%</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230</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79.17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3079.31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5.53%</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40.53%</w:t>
            </w:r>
          </w:p>
        </w:tc>
      </w:tr>
      <w:tr>
        <w:tblPrEx>
          <w:tblCellMar>
            <w:top w:w="0" w:type="dxa"/>
            <w:left w:w="108" w:type="dxa"/>
            <w:bottom w:w="0" w:type="dxa"/>
            <w:right w:w="108" w:type="dxa"/>
          </w:tblCellMar>
        </w:tblPrEx>
        <w:trPr>
          <w:trHeight w:val="290" w:hRule="atLeast"/>
          <w:jc w:val="center"/>
        </w:trPr>
        <w:tc>
          <w:tcPr>
            <w:tcW w:w="1701" w:type="dxa"/>
            <w:tcBorders>
              <w:top w:val="nil"/>
              <w:left w:val="single" w:color="auto" w:sz="4" w:space="0"/>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235</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79.58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 xml:space="preserve">3013.79 </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5.41%</w:t>
            </w:r>
          </w:p>
        </w:tc>
        <w:tc>
          <w:tcPr>
            <w:tcW w:w="1701" w:type="dxa"/>
            <w:tcBorders>
              <w:top w:val="nil"/>
              <w:left w:val="nil"/>
              <w:bottom w:val="single" w:color="auto" w:sz="4" w:space="0"/>
              <w:right w:val="single" w:color="auto" w:sz="4" w:space="0"/>
            </w:tcBorders>
            <w:shd w:val="clear" w:color="auto" w:fill="auto"/>
            <w:noWrap/>
            <w:vAlign w:val="center"/>
          </w:tcPr>
          <w:p>
            <w:pPr>
              <w:autoSpaceDE w:val="0"/>
              <w:autoSpaceDN w:val="0"/>
              <w:adjustRightInd w:val="0"/>
              <w:spacing w:line="300" w:lineRule="auto"/>
              <w:jc w:val="center"/>
              <w:rPr>
                <w:rFonts w:ascii="宋体" w:hAnsi="宋体" w:cs="Courier+ZCLC88-1"/>
                <w:kern w:val="0"/>
                <w:szCs w:val="21"/>
              </w:rPr>
            </w:pPr>
            <w:r>
              <w:rPr>
                <w:rFonts w:hint="eastAsia" w:ascii="宋体" w:hAnsi="宋体" w:cs="Courier+ZCLC88-1"/>
                <w:kern w:val="0"/>
                <w:szCs w:val="21"/>
              </w:rPr>
              <w:t>40.41%</w:t>
            </w:r>
          </w:p>
        </w:tc>
      </w:tr>
    </w:tbl>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由表格可以看出个人账户养老金替代率和基本养老金替代率随着计发月数的增加而下降：当预期寿命71.58岁时，计发月数139个月时，基本养老保险替代率为44.15%；预期寿命76.25岁时，替代率下降到41.52%；当职工预期寿命达到78.33时，替代率仅有40.78%。笔者认为，按照2005年文件给出的数值低估了计发月数，导致测算得到的“名义”养老金替代率偏高。</w:t>
      </w:r>
    </w:p>
    <w:p>
      <w:pPr>
        <w:keepNext w:val="0"/>
        <w:keepLines w:val="0"/>
        <w:pageBreakBefore w:val="0"/>
        <w:widowControl w:val="0"/>
        <w:kinsoku/>
        <w:wordWrap/>
        <w:overflowPunct/>
        <w:topLinePunct w:val="0"/>
        <w:autoSpaceDE/>
        <w:autoSpaceDN/>
        <w:bidi w:val="0"/>
        <w:adjustRightInd/>
        <w:snapToGrid/>
        <w:spacing w:before="50" w:after="50" w:line="360" w:lineRule="auto"/>
        <w:ind w:firstLine="480" w:firstLineChars="200"/>
        <w:textAlignment w:val="auto"/>
        <w:rPr>
          <w:rFonts w:ascii="宋体" w:hAnsi="宋体"/>
          <w:sz w:val="24"/>
        </w:rPr>
      </w:pPr>
      <w:r>
        <w:rPr>
          <w:rFonts w:hint="eastAsia" w:ascii="宋体" w:hAnsi="宋体"/>
          <w:sz w:val="24"/>
        </w:rPr>
        <w:t>随着我国社会经济科技实力发展，人均预期寿命不断提高，会使得实际的计发月数逐渐上升，给在岗职工、社会养老基金统筹账户带来愈发沉重的负担。为了减轻社会养老的压力、实现统筹养老金账户的可持续性、提高社会稳定性，必须要依靠延迟退休政策。从而看出在现在的人口结构和预期寿命条件下，延迟退休的必要性。</w:t>
      </w:r>
    </w:p>
    <w:p>
      <w:pPr>
        <w:pStyle w:val="38"/>
      </w:pPr>
      <w:bookmarkStart w:id="61" w:name="_Toc68789994"/>
      <w:r>
        <w:rPr>
          <w:rFonts w:hint="eastAsia"/>
          <w:lang w:val="en-US" w:eastAsia="zh-CN"/>
        </w:rPr>
        <w:t xml:space="preserve">第5章  </w:t>
      </w:r>
      <w:r>
        <w:rPr>
          <w:rFonts w:hint="eastAsia"/>
        </w:rPr>
        <w:t>结论</w:t>
      </w:r>
      <w:bookmarkEnd w:id="6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宋体" w:hAnsi="宋体"/>
          <w:sz w:val="24"/>
        </w:rPr>
        <w:t>在人口结构老龄化的社会背景下，养老保险账户基金收支的精算平衡面临着巨大威胁。社会上对延迟退休提案的观点两极分化严重。延迟退休政策从养老保险的角度来看是调节养老基金收支、维护社会稳定的必然趋势，只能从延迟退休具体实施政策方面缓和社会各方的冲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r>
        <w:rPr>
          <w:rFonts w:hint="eastAsia" w:ascii="宋体" w:hAnsi="宋体"/>
          <w:sz w:val="24"/>
        </w:rPr>
        <w:t>从上文分析结果看，应该优先考虑延迟女性退休年龄。虽然上文没有将性别作为单独的变量来考察不同性别对职工获得的养老金替代率的影响，但是显然，女性退休年龄比男性早5-10年比工资增长率、个人缴费率等因素影响更大。女性平均预期寿命往往高于男性：2020年我国预期寿命77岁，其中男性73.64岁而女性79.43岁；山东省也是如此，2005年时山东省平均预期寿命75岁，男性72.43岁、女性77.62岁，到了2016年男性76.07岁、女性81.38岁。而且也可以从这组数据中粗略地看出女性预期寿命的增幅比男性更大一些。现行退休政策下女性退休年龄远低于男性，其实际的计发月数较文件中给出的值往往要高，一方面可能造成被保险人自身收入的不足，另一方面也为国家统筹养老安排带来了更多的负担。所以笔者认为应当优先延迟女性退休年龄，可以采取类似于男性职工每两年延迟一岁、女性职工每年延迟一岁直至男女性都达到65岁为止的方案。另一方面从养老金账户本身的来看，应该增加养老金的投资渠道，实现保值增值，提高养老金的记账利率，减轻政府压力。</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sz w:val="24"/>
        </w:rPr>
      </w:pPr>
    </w:p>
    <w:p>
      <w:pPr>
        <w:spacing w:before="162" w:beforeLines="50" w:after="162" w:afterLines="50"/>
        <w:jc w:val="center"/>
        <w:rPr>
          <w:rFonts w:ascii="黑体" w:hAnsi="宋体" w:eastAsia="黑体"/>
          <w:sz w:val="28"/>
          <w:szCs w:val="28"/>
        </w:rPr>
      </w:pPr>
    </w:p>
    <w:p>
      <w:pPr>
        <w:widowControl/>
        <w:jc w:val="left"/>
        <w:rPr>
          <w:rFonts w:ascii="黑体" w:hAnsi="宋体" w:eastAsia="黑体"/>
          <w:sz w:val="28"/>
          <w:szCs w:val="28"/>
        </w:rPr>
      </w:pPr>
      <w:r>
        <w:rPr>
          <w:rFonts w:ascii="黑体" w:hAnsi="宋体" w:eastAsia="黑体"/>
          <w:sz w:val="28"/>
          <w:szCs w:val="28"/>
        </w:rPr>
        <w:br w:type="page"/>
      </w:r>
    </w:p>
    <w:p>
      <w:pPr>
        <w:spacing w:before="162" w:beforeLines="50" w:after="162" w:afterLines="50"/>
        <w:jc w:val="center"/>
        <w:rPr>
          <w:rFonts w:hint="eastAsia" w:ascii="黑体" w:hAnsi="宋体" w:eastAsia="黑体"/>
          <w:b/>
          <w:bCs/>
          <w:sz w:val="36"/>
          <w:szCs w:val="36"/>
        </w:rPr>
      </w:pPr>
      <w:r>
        <w:rPr>
          <w:rFonts w:hint="eastAsia" w:ascii="黑体" w:hAnsi="宋体" w:eastAsia="黑体"/>
          <w:b/>
          <w:bCs/>
          <w:sz w:val="36"/>
          <w:szCs w:val="36"/>
        </w:rPr>
        <w:t>参考文献</w:t>
      </w:r>
    </w:p>
    <w:p>
      <w:pPr>
        <w:spacing w:before="162" w:beforeLines="50" w:after="162" w:afterLines="50"/>
        <w:jc w:val="center"/>
        <w:rPr>
          <w:rFonts w:ascii="黑体" w:hAnsi="宋体" w:eastAsia="黑体"/>
          <w:sz w:val="28"/>
          <w:szCs w:val="28"/>
        </w:rPr>
      </w:pPr>
      <w:r>
        <w:rPr>
          <w:rFonts w:hint="eastAsia" w:ascii="黑体" w:hAnsi="宋体" w:eastAsia="黑体"/>
          <w:sz w:val="28"/>
          <w:szCs w:val="28"/>
        </w:rPr>
        <w:t xml:space="preserve"> </w:t>
      </w:r>
      <w:bookmarkStart w:id="62" w:name="_GoBack"/>
      <w:bookmarkEnd w:id="62"/>
      <w:r>
        <w:rPr>
          <w:rFonts w:hint="eastAsia" w:ascii="黑体" w:hAnsi="宋体" w:eastAsia="黑体"/>
          <w:color w:val="FF0000"/>
          <w:sz w:val="28"/>
          <w:szCs w:val="28"/>
        </w:rPr>
        <w:t>(</w:t>
      </w:r>
      <w:r>
        <w:rPr>
          <w:rFonts w:hint="eastAsia" w:ascii="黑体" w:hAnsi="宋体" w:eastAsia="黑体"/>
          <w:color w:val="FF0000"/>
          <w:sz w:val="28"/>
          <w:szCs w:val="28"/>
          <w:lang w:val="en-US" w:eastAsia="zh-CN"/>
        </w:rPr>
        <w:t>小二</w:t>
      </w:r>
      <w:r>
        <w:rPr>
          <w:rFonts w:hint="eastAsia" w:ascii="黑体" w:hAnsi="宋体" w:eastAsia="黑体"/>
          <w:color w:val="FF0000"/>
          <w:sz w:val="28"/>
          <w:szCs w:val="28"/>
        </w:rPr>
        <w:t>号</w:t>
      </w:r>
      <w:r>
        <w:rPr>
          <w:rFonts w:hint="eastAsia" w:ascii="黑体" w:hAnsi="宋体" w:eastAsia="黑体"/>
          <w:color w:val="FF0000"/>
          <w:sz w:val="28"/>
          <w:szCs w:val="28"/>
          <w:lang w:eastAsia="zh-CN"/>
        </w:rPr>
        <w:t>，</w:t>
      </w:r>
      <w:r>
        <w:rPr>
          <w:rFonts w:ascii="黑体" w:hAnsi="宋体" w:eastAsia="黑体"/>
          <w:color w:val="FF0000"/>
          <w:sz w:val="28"/>
          <w:szCs w:val="28"/>
        </w:rPr>
        <w:t>黑体</w:t>
      </w:r>
      <w:r>
        <w:rPr>
          <w:rFonts w:hint="eastAsia" w:ascii="黑体" w:hAnsi="宋体" w:eastAsia="黑体"/>
          <w:color w:val="FF0000"/>
          <w:sz w:val="28"/>
          <w:szCs w:val="28"/>
        </w:rPr>
        <w:t>，</w:t>
      </w:r>
      <w:r>
        <w:rPr>
          <w:rFonts w:hint="eastAsia" w:ascii="黑体" w:hAnsi="宋体" w:eastAsia="黑体"/>
          <w:color w:val="FF0000"/>
          <w:sz w:val="28"/>
          <w:szCs w:val="28"/>
          <w:lang w:val="en-US" w:eastAsia="zh-CN"/>
        </w:rPr>
        <w:t>加粗，</w:t>
      </w:r>
      <w:r>
        <w:rPr>
          <w:rFonts w:ascii="黑体" w:hAnsi="宋体" w:eastAsia="黑体"/>
          <w:color w:val="FF0000"/>
          <w:sz w:val="28"/>
          <w:szCs w:val="28"/>
        </w:rPr>
        <w:t>居中</w:t>
      </w:r>
      <w:r>
        <w:rPr>
          <w:rFonts w:hint="eastAsia" w:ascii="黑体" w:hAnsi="宋体" w:eastAsia="黑体"/>
          <w:color w:val="FF0000"/>
          <w:sz w:val="28"/>
          <w:szCs w:val="28"/>
        </w:rPr>
        <w:t>)</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rFonts w:hint="eastAsia" w:ascii="宋体" w:hAnsi="宋体" w:eastAsia="宋体" w:cs="宋体"/>
          <w:color w:val="000000" w:themeColor="text1"/>
          <w:kern w:val="0"/>
          <w:szCs w:val="21"/>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xml:space="preserve">[1]周强, 张全红. 中国家庭长期多维贫困状态转化及教育因素研究[J]. 数量经济技术经济研究, 2017, 34(4): 3-19. </w:t>
      </w:r>
      <w:r>
        <w:rPr>
          <w:rFonts w:hint="eastAsia" w:ascii="宋体" w:hAnsi="宋体" w:eastAsia="宋体" w:cs="宋体"/>
          <w:color w:val="FF0000"/>
          <w:kern w:val="0"/>
          <w:szCs w:val="21"/>
        </w:rPr>
        <w:t>（五号</w:t>
      </w:r>
      <w:r>
        <w:rPr>
          <w:rFonts w:hint="eastAsia" w:ascii="宋体" w:hAnsi="宋体" w:cs="宋体"/>
          <w:color w:val="FF0000"/>
          <w:kern w:val="0"/>
          <w:szCs w:val="21"/>
          <w:lang w:eastAsia="zh-CN"/>
        </w:rPr>
        <w:t>，</w:t>
      </w:r>
      <w:r>
        <w:rPr>
          <w:rFonts w:hint="eastAsia" w:ascii="宋体" w:hAnsi="宋体" w:eastAsia="宋体" w:cs="宋体"/>
          <w:color w:val="FF0000"/>
          <w:kern w:val="0"/>
          <w:szCs w:val="21"/>
        </w:rPr>
        <w:t>宋体，</w:t>
      </w:r>
      <w:r>
        <w:rPr>
          <w:rFonts w:hint="eastAsia" w:ascii="宋体" w:hAnsi="宋体" w:cs="宋体"/>
          <w:color w:val="FF0000"/>
          <w:kern w:val="0"/>
          <w:szCs w:val="21"/>
          <w:lang w:val="en-US" w:eastAsia="zh-CN"/>
        </w:rPr>
        <w:t>单倍行距</w:t>
      </w:r>
      <w:r>
        <w:rPr>
          <w:rFonts w:hint="eastAsia" w:ascii="宋体" w:hAnsi="宋体" w:eastAsia="宋体" w:cs="宋体"/>
          <w:color w:val="FF0000"/>
          <w:kern w:val="0"/>
          <w:szCs w:val="21"/>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[2]沈冰清, 郭忠兴. 新农保改善了农村低收入家庭的脆弱性吗?——基于分阶段的分析[J]. 中国农村经济, 2018, (1): 90-107.</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 xml:space="preserve">[3]尹志超, 张栋浩. 金融普惠、家庭贫困及脆弱性[J]. 经济学(季刊), 2020, 20(5): 153-172. </w:t>
      </w:r>
    </w:p>
    <w:p>
      <w:pPr>
        <w:keepNext w:val="0"/>
        <w:keepLines w:val="0"/>
        <w:pageBreakBefore w:val="0"/>
        <w:widowControl w:val="0"/>
        <w:kinsoku/>
        <w:wordWrap/>
        <w:overflowPunct/>
        <w:topLinePunct w:val="0"/>
        <w:bidi w:val="0"/>
        <w:snapToGrid/>
        <w:spacing w:line="240" w:lineRule="auto"/>
        <w:textAlignment w:val="auto"/>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[4]Ravallion, M., Chen, S.H., Sangraula, P. New evidence on the urbanization of global poverty[J]. Population and Development Review, 2007</w:t>
      </w:r>
      <w:r>
        <w:rPr>
          <w:rFonts w:hint="eastAsia"/>
          <w:color w:val="000000" w:themeColor="text1"/>
          <w:kern w:val="0"/>
          <w:szCs w:val="21"/>
          <w14:textFill>
            <w14:solidFill>
              <w14:schemeClr w14:val="tx1"/>
            </w14:solidFill>
          </w14:textFill>
        </w:rPr>
        <w:t>,</w:t>
      </w:r>
      <w:r>
        <w:rPr>
          <w:color w:val="000000" w:themeColor="text1"/>
          <w:kern w:val="0"/>
          <w:szCs w:val="21"/>
          <w14:textFill>
            <w14:solidFill>
              <w14:schemeClr w14:val="tx1"/>
            </w14:solidFill>
          </w14:textFill>
        </w:rPr>
        <w:t xml:space="preserve"> 33(4): 667-701.  </w:t>
      </w:r>
      <w:r>
        <w:rPr>
          <w:rFonts w:hint="eastAsia"/>
          <w:color w:val="FF0000"/>
          <w:kern w:val="0"/>
          <w:szCs w:val="21"/>
        </w:rPr>
        <w:t>（五号</w:t>
      </w:r>
      <w:r>
        <w:rPr>
          <w:rFonts w:hint="eastAsia"/>
          <w:color w:val="FF0000"/>
          <w:kern w:val="0"/>
          <w:szCs w:val="21"/>
          <w:lang w:eastAsia="zh-CN"/>
        </w:rPr>
        <w:t>，</w:t>
      </w:r>
      <w:r>
        <w:rPr>
          <w:rFonts w:hint="eastAsia"/>
          <w:color w:val="FF0000"/>
          <w:kern w:val="0"/>
          <w:szCs w:val="21"/>
          <w:lang w:val="en-US" w:eastAsia="zh-CN"/>
        </w:rPr>
        <w:t>Ti</w:t>
      </w:r>
      <w:r>
        <w:rPr>
          <w:rFonts w:hint="eastAsia"/>
          <w:color w:val="FF0000"/>
          <w:kern w:val="0"/>
          <w:szCs w:val="21"/>
        </w:rPr>
        <w:t>mes new roman字体，</w:t>
      </w:r>
      <w:r>
        <w:rPr>
          <w:rFonts w:hint="eastAsia"/>
          <w:color w:val="FF0000"/>
          <w:kern w:val="0"/>
          <w:szCs w:val="21"/>
          <w:lang w:val="en-US" w:eastAsia="zh-CN"/>
        </w:rPr>
        <w:t>单倍</w:t>
      </w:r>
      <w:r>
        <w:rPr>
          <w:rFonts w:hint="eastAsia"/>
          <w:color w:val="FF0000"/>
          <w:kern w:val="0"/>
          <w:szCs w:val="21"/>
        </w:rPr>
        <w:t>行距）</w:t>
      </w:r>
    </w:p>
    <w:p>
      <w:pPr>
        <w:keepNext w:val="0"/>
        <w:keepLines w:val="0"/>
        <w:pageBreakBefore w:val="0"/>
        <w:widowControl w:val="0"/>
        <w:kinsoku/>
        <w:wordWrap/>
        <w:overflowPunct/>
        <w:topLinePunct w:val="0"/>
        <w:autoSpaceDE w:val="0"/>
        <w:autoSpaceDN w:val="0"/>
        <w:bidi w:val="0"/>
        <w:adjustRightInd w:val="0"/>
        <w:snapToGrid/>
        <w:spacing w:line="240" w:lineRule="auto"/>
        <w:textAlignment w:val="auto"/>
        <w:rPr>
          <w:szCs w:val="21"/>
        </w:rPr>
      </w:pPr>
      <w:r>
        <w:rPr>
          <w:color w:val="000000" w:themeColor="text1"/>
          <w:kern w:val="0"/>
          <w:szCs w:val="21"/>
          <w14:textFill>
            <w14:solidFill>
              <w14:schemeClr w14:val="tx1"/>
            </w14:solidFill>
          </w14:textFill>
        </w:rPr>
        <w:t>[5]</w:t>
      </w:r>
      <w:r>
        <w:rPr>
          <w:szCs w:val="21"/>
        </w:rPr>
        <w:t>Bouoiyour, J., Miftah, A., Mouhoud, E.M. Education, male gender preference and migrants’ remittances: Interactions in rural morocco</w:t>
      </w:r>
      <w:r>
        <w:rPr>
          <w:color w:val="000000" w:themeColor="text1"/>
          <w:kern w:val="0"/>
          <w:szCs w:val="21"/>
          <w14:textFill>
            <w14:solidFill>
              <w14:schemeClr w14:val="tx1"/>
            </w14:solidFill>
          </w14:textFill>
        </w:rPr>
        <w:t xml:space="preserve">[J]. </w:t>
      </w:r>
      <w:r>
        <w:rPr>
          <w:szCs w:val="21"/>
        </w:rPr>
        <w:t>Economic Modelling, 2016, 57: 324-331.</w:t>
      </w:r>
    </w:p>
    <w:p>
      <w:pPr>
        <w:autoSpaceDE w:val="0"/>
        <w:autoSpaceDN w:val="0"/>
        <w:adjustRightInd w:val="0"/>
        <w:spacing w:line="300" w:lineRule="auto"/>
        <w:rPr>
          <w:rFonts w:hint="eastAsia" w:eastAsia="宋体"/>
          <w:szCs w:val="21"/>
          <w:lang w:eastAsia="zh-CN"/>
        </w:rPr>
      </w:pPr>
      <w:r>
        <w:rPr>
          <w:color w:val="000000" w:themeColor="text1"/>
          <w:kern w:val="0"/>
          <w:szCs w:val="21"/>
          <w14:textFill>
            <w14:solidFill>
              <w14:schemeClr w14:val="tx1"/>
            </w14:solidFill>
          </w14:textFill>
        </w:rPr>
        <w:t>[</w:t>
      </w:r>
      <w:r>
        <w:rPr>
          <w:rFonts w:hint="eastAsia"/>
          <w:color w:val="000000" w:themeColor="text1"/>
          <w:kern w:val="0"/>
          <w:szCs w:val="21"/>
          <w:lang w:val="en-US" w:eastAsia="zh-CN"/>
          <w14:textFill>
            <w14:solidFill>
              <w14:schemeClr w14:val="tx1"/>
            </w14:solidFill>
          </w14:textFill>
        </w:rPr>
        <w:t>6</w:t>
      </w:r>
      <w:r>
        <w:rPr>
          <w:color w:val="000000" w:themeColor="text1"/>
          <w:kern w:val="0"/>
          <w:szCs w:val="21"/>
          <w14:textFill>
            <w14:solidFill>
              <w14:schemeClr w14:val="tx1"/>
            </w14:solidFill>
          </w14:textFill>
        </w:rPr>
        <w:t>]</w:t>
      </w:r>
      <w:r>
        <w:rPr>
          <w:rFonts w:hint="eastAsia"/>
          <w:color w:val="000000" w:themeColor="text1"/>
          <w:kern w:val="0"/>
          <w:szCs w:val="21"/>
          <w:lang w:eastAsia="zh-CN"/>
          <w14:textFill>
            <w14:solidFill>
              <w14:schemeClr w14:val="tx1"/>
            </w14:solidFill>
          </w14:textFill>
        </w:rPr>
        <w:t>………………</w:t>
      </w:r>
    </w:p>
    <w:p>
      <w:pPr>
        <w:autoSpaceDE w:val="0"/>
        <w:autoSpaceDN w:val="0"/>
        <w:adjustRightInd w:val="0"/>
        <w:spacing w:line="300" w:lineRule="auto"/>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w:t>
      </w:r>
      <w:r>
        <w:rPr>
          <w:rFonts w:hint="eastAsia"/>
          <w:color w:val="000000" w:themeColor="text1"/>
          <w:kern w:val="0"/>
          <w:szCs w:val="21"/>
          <w:lang w:val="en-US" w:eastAsia="zh-CN"/>
          <w14:textFill>
            <w14:solidFill>
              <w14:schemeClr w14:val="tx1"/>
            </w14:solidFill>
          </w14:textFill>
        </w:rPr>
        <w:t>7</w:t>
      </w:r>
      <w:r>
        <w:rPr>
          <w:color w:val="000000" w:themeColor="text1"/>
          <w:kern w:val="0"/>
          <w:szCs w:val="21"/>
          <w14:textFill>
            <w14:solidFill>
              <w14:schemeClr w14:val="tx1"/>
            </w14:solidFill>
          </w14:textFill>
        </w:rPr>
        <w:t>]</w:t>
      </w:r>
      <w:r>
        <w:rPr>
          <w:rFonts w:hint="eastAsia"/>
          <w:color w:val="000000" w:themeColor="text1"/>
          <w:kern w:val="0"/>
          <w:szCs w:val="21"/>
          <w:lang w:eastAsia="zh-CN"/>
          <w14:textFill>
            <w14:solidFill>
              <w14:schemeClr w14:val="tx1"/>
            </w14:solidFill>
          </w14:textFill>
        </w:rPr>
        <w:t>………………</w:t>
      </w:r>
    </w:p>
    <w:p>
      <w:pPr>
        <w:autoSpaceDE w:val="0"/>
        <w:autoSpaceDN w:val="0"/>
        <w:adjustRightInd w:val="0"/>
        <w:spacing w:line="300" w:lineRule="auto"/>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w:t>
      </w:r>
      <w:r>
        <w:rPr>
          <w:rFonts w:hint="eastAsia"/>
          <w:color w:val="000000" w:themeColor="text1"/>
          <w:kern w:val="0"/>
          <w:szCs w:val="21"/>
          <w:lang w:val="en-US" w:eastAsia="zh-CN"/>
          <w14:textFill>
            <w14:solidFill>
              <w14:schemeClr w14:val="tx1"/>
            </w14:solidFill>
          </w14:textFill>
        </w:rPr>
        <w:t>8</w:t>
      </w:r>
      <w:r>
        <w:rPr>
          <w:color w:val="000000" w:themeColor="text1"/>
          <w:kern w:val="0"/>
          <w:szCs w:val="21"/>
          <w14:textFill>
            <w14:solidFill>
              <w14:schemeClr w14:val="tx1"/>
            </w14:solidFill>
          </w14:textFill>
        </w:rPr>
        <w:t>]</w:t>
      </w:r>
      <w:r>
        <w:rPr>
          <w:rFonts w:hint="eastAsia"/>
          <w:color w:val="000000" w:themeColor="text1"/>
          <w:kern w:val="0"/>
          <w:szCs w:val="21"/>
          <w:lang w:eastAsia="zh-CN"/>
          <w14:textFill>
            <w14:solidFill>
              <w14:schemeClr w14:val="tx1"/>
            </w14:solidFill>
          </w14:textFill>
        </w:rPr>
        <w:t>………………</w:t>
      </w:r>
    </w:p>
    <w:p>
      <w:pPr>
        <w:autoSpaceDE w:val="0"/>
        <w:autoSpaceDN w:val="0"/>
        <w:adjustRightInd w:val="0"/>
        <w:spacing w:line="300" w:lineRule="auto"/>
        <w:rPr>
          <w:szCs w:val="21"/>
        </w:rPr>
      </w:pPr>
      <w:r>
        <w:rPr>
          <w:color w:val="000000" w:themeColor="text1"/>
          <w:kern w:val="0"/>
          <w:szCs w:val="21"/>
          <w14:textFill>
            <w14:solidFill>
              <w14:schemeClr w14:val="tx1"/>
            </w14:solidFill>
          </w14:textFill>
        </w:rPr>
        <w:t>[</w:t>
      </w:r>
      <w:r>
        <w:rPr>
          <w:rFonts w:hint="eastAsia"/>
          <w:color w:val="000000" w:themeColor="text1"/>
          <w:kern w:val="0"/>
          <w:szCs w:val="21"/>
          <w:lang w:val="en-US" w:eastAsia="zh-CN"/>
          <w14:textFill>
            <w14:solidFill>
              <w14:schemeClr w14:val="tx1"/>
            </w14:solidFill>
          </w14:textFill>
        </w:rPr>
        <w:t>9</w:t>
      </w:r>
      <w:r>
        <w:rPr>
          <w:color w:val="000000" w:themeColor="text1"/>
          <w:kern w:val="0"/>
          <w:szCs w:val="21"/>
          <w14:textFill>
            <w14:solidFill>
              <w14:schemeClr w14:val="tx1"/>
            </w14:solidFill>
          </w14:textFill>
        </w:rPr>
        <w:t>]</w:t>
      </w:r>
      <w:r>
        <w:rPr>
          <w:rFonts w:hint="eastAsia"/>
          <w:color w:val="000000" w:themeColor="text1"/>
          <w:kern w:val="0"/>
          <w:szCs w:val="21"/>
          <w:lang w:eastAsia="zh-CN"/>
          <w14:textFill>
            <w14:solidFill>
              <w14:schemeClr w14:val="tx1"/>
            </w14:solidFill>
          </w14:textFill>
        </w:rPr>
        <w:t>………………</w:t>
      </w:r>
    </w:p>
    <w:p>
      <w:pPr>
        <w:autoSpaceDE w:val="0"/>
        <w:autoSpaceDN w:val="0"/>
        <w:adjustRightInd w:val="0"/>
        <w:spacing w:line="300" w:lineRule="auto"/>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w:t>
      </w:r>
      <w:r>
        <w:rPr>
          <w:rFonts w:hint="eastAsia"/>
          <w:color w:val="000000" w:themeColor="text1"/>
          <w:kern w:val="0"/>
          <w:szCs w:val="21"/>
          <w:lang w:val="en-US" w:eastAsia="zh-CN"/>
          <w14:textFill>
            <w14:solidFill>
              <w14:schemeClr w14:val="tx1"/>
            </w14:solidFill>
          </w14:textFill>
        </w:rPr>
        <w:t>10</w:t>
      </w:r>
      <w:r>
        <w:rPr>
          <w:color w:val="000000" w:themeColor="text1"/>
          <w:kern w:val="0"/>
          <w:szCs w:val="21"/>
          <w14:textFill>
            <w14:solidFill>
              <w14:schemeClr w14:val="tx1"/>
            </w14:solidFill>
          </w14:textFill>
        </w:rPr>
        <w:t>]</w:t>
      </w:r>
      <w:r>
        <w:rPr>
          <w:rFonts w:hint="eastAsia"/>
          <w:color w:val="000000" w:themeColor="text1"/>
          <w:kern w:val="0"/>
          <w:szCs w:val="21"/>
          <w:lang w:eastAsia="zh-CN"/>
          <w14:textFill>
            <w14:solidFill>
              <w14:schemeClr w14:val="tx1"/>
            </w14:solidFill>
          </w14:textFill>
        </w:rPr>
        <w:t>………………</w:t>
      </w:r>
    </w:p>
    <w:p>
      <w:pPr>
        <w:autoSpaceDE w:val="0"/>
        <w:autoSpaceDN w:val="0"/>
        <w:adjustRightInd w:val="0"/>
        <w:spacing w:line="300" w:lineRule="auto"/>
        <w:rPr>
          <w:color w:val="000000" w:themeColor="text1"/>
          <w:kern w:val="0"/>
          <w:szCs w:val="21"/>
          <w14:textFill>
            <w14:solidFill>
              <w14:schemeClr w14:val="tx1"/>
            </w14:solidFill>
          </w14:textFill>
        </w:rPr>
      </w:pPr>
      <w:r>
        <w:rPr>
          <w:color w:val="000000" w:themeColor="text1"/>
          <w:kern w:val="0"/>
          <w:szCs w:val="21"/>
          <w14:textFill>
            <w14:solidFill>
              <w14:schemeClr w14:val="tx1"/>
            </w14:solidFill>
          </w14:textFill>
        </w:rPr>
        <w:t>[</w:t>
      </w:r>
      <w:r>
        <w:rPr>
          <w:rFonts w:hint="eastAsia"/>
          <w:color w:val="000000" w:themeColor="text1"/>
          <w:kern w:val="0"/>
          <w:szCs w:val="21"/>
          <w:lang w:val="en-US" w:eastAsia="zh-CN"/>
          <w14:textFill>
            <w14:solidFill>
              <w14:schemeClr w14:val="tx1"/>
            </w14:solidFill>
          </w14:textFill>
        </w:rPr>
        <w:t>11</w:t>
      </w:r>
      <w:r>
        <w:rPr>
          <w:color w:val="000000" w:themeColor="text1"/>
          <w:kern w:val="0"/>
          <w:szCs w:val="21"/>
          <w14:textFill>
            <w14:solidFill>
              <w14:schemeClr w14:val="tx1"/>
            </w14:solidFill>
          </w14:textFill>
        </w:rPr>
        <w:t>]</w:t>
      </w:r>
      <w:r>
        <w:rPr>
          <w:rFonts w:hint="eastAsia"/>
          <w:color w:val="000000" w:themeColor="text1"/>
          <w:kern w:val="0"/>
          <w:szCs w:val="21"/>
          <w:lang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540" w:lineRule="exact"/>
        <w:jc w:val="left"/>
        <w:textAlignment w:val="auto"/>
        <w:rPr>
          <w:rFonts w:hint="eastAsia" w:ascii="宋体" w:hAnsi="宋体" w:eastAsia="宋体" w:cs="宋体"/>
          <w:bCs/>
          <w:color w:val="000000"/>
          <w:sz w:val="24"/>
          <w:szCs w:val="24"/>
          <w:highlight w:val="none"/>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540" w:lineRule="exact"/>
        <w:jc w:val="left"/>
        <w:textAlignment w:val="auto"/>
        <w:rPr>
          <w:rFonts w:hint="eastAsia" w:ascii="宋体" w:hAnsi="宋体" w:eastAsia="宋体" w:cs="宋体"/>
          <w:bCs/>
          <w:color w:val="FF0000"/>
          <w:sz w:val="24"/>
          <w:szCs w:val="24"/>
          <w:highlight w:val="none"/>
        </w:rPr>
      </w:pPr>
      <w:r>
        <w:rPr>
          <w:rFonts w:hint="eastAsia" w:ascii="宋体" w:hAnsi="宋体" w:cs="宋体"/>
          <w:bCs/>
          <w:color w:val="FF0000"/>
          <w:sz w:val="24"/>
          <w:szCs w:val="24"/>
          <w:highlight w:val="none"/>
          <w:lang w:val="en-US" w:eastAsia="zh-CN"/>
        </w:rPr>
        <w:t>（</w:t>
      </w:r>
      <w:r>
        <w:rPr>
          <w:rFonts w:hint="eastAsia" w:ascii="宋体" w:hAnsi="宋体" w:eastAsia="宋体" w:cs="宋体"/>
          <w:bCs/>
          <w:color w:val="FF0000"/>
          <w:sz w:val="24"/>
          <w:szCs w:val="24"/>
          <w:highlight w:val="none"/>
          <w:lang w:val="en-US" w:eastAsia="zh-CN"/>
        </w:rPr>
        <w:t>参考文献数量不应少于10篇，一般最多不超过30篇，其中，近三年文献的数量、国外文献数量，原则上应不低于30%</w:t>
      </w:r>
      <w:r>
        <w:rPr>
          <w:rFonts w:hint="eastAsia" w:ascii="宋体" w:hAnsi="宋体" w:cs="宋体"/>
          <w:bCs/>
          <w:color w:val="FF0000"/>
          <w:sz w:val="24"/>
          <w:szCs w:val="24"/>
          <w:highlight w:val="none"/>
          <w:lang w:val="en-US" w:eastAsia="zh-CN"/>
        </w:rPr>
        <w:t>；</w:t>
      </w:r>
      <w:r>
        <w:rPr>
          <w:rFonts w:hint="eastAsia"/>
          <w:color w:val="FF0000"/>
          <w:szCs w:val="21"/>
        </w:rPr>
        <w:t>严格按照模板格式，年、</w:t>
      </w:r>
      <w:r>
        <w:rPr>
          <w:color w:val="FF0000"/>
          <w:szCs w:val="21"/>
        </w:rPr>
        <w:t>卷</w:t>
      </w:r>
      <w:r>
        <w:rPr>
          <w:rFonts w:hint="eastAsia"/>
          <w:color w:val="FF0000"/>
          <w:szCs w:val="21"/>
        </w:rPr>
        <w:t>、期、</w:t>
      </w:r>
      <w:r>
        <w:rPr>
          <w:color w:val="FF0000"/>
          <w:szCs w:val="21"/>
        </w:rPr>
        <w:t>页码都需要标注清楚。</w:t>
      </w:r>
      <w:r>
        <w:rPr>
          <w:rFonts w:hint="eastAsia" w:ascii="宋体" w:hAnsi="宋体" w:cs="宋体"/>
          <w:bCs/>
          <w:color w:val="FF0000"/>
          <w:sz w:val="24"/>
          <w:szCs w:val="24"/>
          <w:highlight w:val="none"/>
          <w:lang w:val="en-US" w:eastAsia="zh-CN"/>
        </w:rPr>
        <w:t>）</w:t>
      </w:r>
    </w:p>
    <w:p>
      <w:pPr>
        <w:autoSpaceDE w:val="0"/>
        <w:autoSpaceDN w:val="0"/>
        <w:adjustRightInd w:val="0"/>
        <w:spacing w:before="50" w:after="50"/>
        <w:ind w:firstLine="420" w:firstLineChars="200"/>
        <w:jc w:val="left"/>
        <w:rPr>
          <w:rFonts w:hint="eastAsia"/>
          <w:color w:val="FF0000"/>
          <w:szCs w:val="21"/>
        </w:rPr>
      </w:pPr>
    </w:p>
    <w:p>
      <w:pPr>
        <w:widowControl/>
        <w:jc w:val="left"/>
        <w:rPr>
          <w:rFonts w:ascii="黑体" w:hAnsi="宋体" w:eastAsia="黑体"/>
          <w:sz w:val="28"/>
          <w:szCs w:val="28"/>
        </w:rPr>
      </w:pPr>
    </w:p>
    <w:p>
      <w:pPr>
        <w:widowControl/>
        <w:jc w:val="left"/>
        <w:rPr>
          <w:rFonts w:ascii="黑体" w:hAnsi="宋体" w:eastAsia="黑体"/>
          <w:sz w:val="28"/>
          <w:szCs w:val="28"/>
        </w:rPr>
      </w:pPr>
    </w:p>
    <w:p>
      <w:pPr>
        <w:widowControl/>
        <w:jc w:val="left"/>
        <w:rPr>
          <w:rFonts w:ascii="黑体" w:hAnsi="宋体" w:eastAsia="黑体"/>
          <w:sz w:val="28"/>
          <w:szCs w:val="28"/>
        </w:rPr>
      </w:pPr>
    </w:p>
    <w:p>
      <w:pPr>
        <w:widowControl/>
        <w:jc w:val="left"/>
        <w:rPr>
          <w:rFonts w:ascii="黑体" w:hAnsi="宋体" w:eastAsia="黑体"/>
          <w:sz w:val="28"/>
          <w:szCs w:val="28"/>
        </w:rPr>
      </w:pPr>
    </w:p>
    <w:p>
      <w:pPr>
        <w:widowControl/>
        <w:jc w:val="left"/>
        <w:rPr>
          <w:rFonts w:ascii="黑体" w:hAnsi="宋体" w:eastAsia="黑体"/>
          <w:sz w:val="28"/>
          <w:szCs w:val="28"/>
        </w:rPr>
      </w:pPr>
    </w:p>
    <w:p>
      <w:pPr>
        <w:widowControl/>
        <w:jc w:val="left"/>
        <w:rPr>
          <w:rFonts w:ascii="黑体" w:hAnsi="宋体" w:eastAsia="黑体"/>
          <w:sz w:val="28"/>
          <w:szCs w:val="28"/>
        </w:rPr>
      </w:pPr>
    </w:p>
    <w:p>
      <w:pPr>
        <w:widowControl/>
        <w:jc w:val="left"/>
        <w:rPr>
          <w:rFonts w:ascii="黑体" w:hAnsi="宋体" w:eastAsia="黑体"/>
          <w:sz w:val="28"/>
          <w:szCs w:val="28"/>
        </w:rPr>
      </w:pPr>
    </w:p>
    <w:p>
      <w:pPr>
        <w:widowControl/>
        <w:jc w:val="left"/>
        <w:rPr>
          <w:rFonts w:ascii="黑体" w:hAnsi="宋体" w:eastAsia="黑体"/>
          <w:sz w:val="28"/>
          <w:szCs w:val="28"/>
        </w:rPr>
      </w:pPr>
    </w:p>
    <w:p>
      <w:pPr>
        <w:widowControl/>
        <w:jc w:val="left"/>
        <w:rPr>
          <w:rFonts w:ascii="黑体" w:hAnsi="宋体" w:eastAsia="黑体"/>
          <w:sz w:val="28"/>
          <w:szCs w:val="28"/>
        </w:rPr>
      </w:pPr>
    </w:p>
    <w:p>
      <w:pPr>
        <w:jc w:val="center"/>
        <w:rPr>
          <w:rFonts w:hint="eastAsia" w:ascii="黑体" w:hAnsi="宋体" w:eastAsia="黑体"/>
          <w:b/>
          <w:bCs/>
          <w:sz w:val="36"/>
          <w:szCs w:val="36"/>
        </w:rPr>
      </w:pPr>
      <w:r>
        <w:rPr>
          <w:rFonts w:hint="eastAsia" w:ascii="黑体" w:hAnsi="宋体" w:eastAsia="黑体"/>
          <w:b/>
          <w:bCs/>
          <w:sz w:val="36"/>
          <w:szCs w:val="36"/>
        </w:rPr>
        <w:t xml:space="preserve">致  </w:t>
      </w:r>
      <w:r>
        <w:rPr>
          <w:rFonts w:hint="eastAsia" w:ascii="黑体" w:hAnsi="宋体" w:eastAsia="黑体"/>
          <w:b/>
          <w:bCs/>
          <w:sz w:val="36"/>
          <w:szCs w:val="36"/>
          <w:lang w:val="en-US" w:eastAsia="zh-CN"/>
        </w:rPr>
        <w:t xml:space="preserve">  </w:t>
      </w:r>
      <w:r>
        <w:rPr>
          <w:rFonts w:hint="eastAsia" w:ascii="黑体" w:hAnsi="宋体" w:eastAsia="黑体"/>
          <w:b/>
          <w:bCs/>
          <w:sz w:val="36"/>
          <w:szCs w:val="36"/>
        </w:rPr>
        <w:t>谢</w:t>
      </w:r>
    </w:p>
    <w:p>
      <w:pPr>
        <w:jc w:val="center"/>
        <w:rPr>
          <w:szCs w:val="21"/>
        </w:rPr>
      </w:pPr>
      <w:r>
        <w:rPr>
          <w:rFonts w:hint="eastAsia" w:ascii="黑体" w:hAnsi="宋体" w:eastAsia="黑体"/>
          <w:color w:val="FF0000"/>
          <w:sz w:val="28"/>
          <w:szCs w:val="28"/>
        </w:rPr>
        <w:t>(</w:t>
      </w:r>
      <w:r>
        <w:rPr>
          <w:rFonts w:hint="eastAsia" w:ascii="黑体" w:hAnsi="宋体" w:eastAsia="黑体"/>
          <w:color w:val="FF0000"/>
          <w:sz w:val="28"/>
          <w:szCs w:val="28"/>
          <w:lang w:val="en-US" w:eastAsia="zh-CN"/>
        </w:rPr>
        <w:t>小二号，</w:t>
      </w:r>
      <w:r>
        <w:rPr>
          <w:rFonts w:ascii="黑体" w:hAnsi="宋体" w:eastAsia="黑体"/>
          <w:color w:val="FF0000"/>
          <w:sz w:val="28"/>
          <w:szCs w:val="28"/>
        </w:rPr>
        <w:t>黑体</w:t>
      </w:r>
      <w:r>
        <w:rPr>
          <w:rFonts w:hint="eastAsia" w:ascii="黑体" w:hAnsi="宋体" w:eastAsia="黑体"/>
          <w:color w:val="FF0000"/>
          <w:sz w:val="28"/>
          <w:szCs w:val="28"/>
        </w:rPr>
        <w:t>，</w:t>
      </w:r>
      <w:r>
        <w:rPr>
          <w:rFonts w:hint="eastAsia" w:ascii="黑体" w:hAnsi="宋体" w:eastAsia="黑体"/>
          <w:color w:val="FF0000"/>
          <w:sz w:val="28"/>
          <w:szCs w:val="28"/>
          <w:lang w:val="en-US" w:eastAsia="zh-CN"/>
        </w:rPr>
        <w:t>加粗，</w:t>
      </w:r>
      <w:r>
        <w:rPr>
          <w:rFonts w:ascii="黑体" w:hAnsi="宋体" w:eastAsia="黑体"/>
          <w:color w:val="FF0000"/>
          <w:sz w:val="28"/>
          <w:szCs w:val="28"/>
        </w:rPr>
        <w:t>居中</w:t>
      </w:r>
      <w:r>
        <w:rPr>
          <w:rFonts w:hint="eastAsia" w:ascii="黑体" w:hAnsi="宋体" w:eastAsia="黑体"/>
          <w:color w:val="FF0000"/>
          <w:sz w:val="28"/>
          <w:szCs w:val="28"/>
        </w:rPr>
        <w:t>)</w:t>
      </w:r>
    </w:p>
    <w:p>
      <w:pPr>
        <w:spacing w:line="300" w:lineRule="auto"/>
        <w:ind w:firstLine="480" w:firstLineChars="200"/>
        <w:rPr>
          <w:rFonts w:ascii="宋体" w:hAnsi="宋体"/>
          <w:sz w:val="24"/>
        </w:rPr>
      </w:pPr>
      <w:r>
        <w:rPr>
          <w:rFonts w:ascii="宋体" w:hAnsi="宋体"/>
          <w:sz w:val="24"/>
        </w:rPr>
        <w:t>本论文</w:t>
      </w:r>
      <w:r>
        <w:rPr>
          <w:rFonts w:hint="eastAsia" w:ascii="宋体" w:hAnsi="宋体"/>
          <w:sz w:val="24"/>
        </w:rPr>
        <w:t>是</w:t>
      </w:r>
      <w:r>
        <w:rPr>
          <w:rFonts w:ascii="宋体" w:hAnsi="宋体"/>
          <w:sz w:val="24"/>
        </w:rPr>
        <w:t>在</w:t>
      </w:r>
      <w:r>
        <w:rPr>
          <w:rFonts w:hint="eastAsia" w:ascii="宋体" w:hAnsi="宋体"/>
          <w:sz w:val="24"/>
        </w:rPr>
        <w:t>*</w:t>
      </w:r>
      <w:r>
        <w:rPr>
          <w:rFonts w:ascii="宋体" w:hAnsi="宋体"/>
          <w:sz w:val="24"/>
        </w:rPr>
        <w:t>**导师的悉心指导下完成的。…………</w:t>
      </w:r>
    </w:p>
    <w:p>
      <w:pPr>
        <w:spacing w:line="300" w:lineRule="auto"/>
        <w:rPr>
          <w:rFonts w:ascii="宋体" w:hAnsi="宋体"/>
          <w:color w:val="FF0000"/>
          <w:sz w:val="24"/>
        </w:rPr>
      </w:pPr>
    </w:p>
    <w:sectPr>
      <w:headerReference r:id="rId10" w:type="default"/>
      <w:headerReference r:id="rId11" w:type="even"/>
      <w:pgSz w:w="11906" w:h="16838"/>
      <w:pgMar w:top="1418" w:right="1134" w:bottom="1134" w:left="1418" w:header="851" w:footer="992" w:gutter="0"/>
      <w:pgNumType w:fmt="decimal" w:start="1"/>
      <w:cols w:space="425" w:num="1"/>
      <w:docGrid w:type="linesAndChars" w:linePitch="3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swiss"/>
    <w:pitch w:val="default"/>
    <w:sig w:usb0="FFFFFFFF" w:usb1="E9FFFFFF" w:usb2="0000003F" w:usb3="00000000" w:csb0="603F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Courier+ZCLC88-1">
    <w:altName w:val="宋体"/>
    <w:panose1 w:val="00000000000000000000"/>
    <w:charset w:val="86"/>
    <w:family w:val="auto"/>
    <w:pitch w:val="default"/>
    <w:sig w:usb0="00000000" w:usb1="00000000" w:usb2="00000010" w:usb3="00000000" w:csb0="00040000" w:csb1="00000000"/>
  </w:font>
  <w:font w:name="AdobeSongStd-Ligh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6"/>
      </w:rPr>
    </w:pPr>
    <w:r>
      <w:rPr>
        <w:rStyle w:val="16"/>
      </w:rPr>
      <w:fldChar w:fldCharType="begin"/>
    </w:r>
    <w:r>
      <w:rPr>
        <w:rStyle w:val="16"/>
      </w:rPr>
      <w:instrText xml:space="preserve">PAGE  </w:instrText>
    </w:r>
    <w:r>
      <w:rPr>
        <w:rStyle w:val="16"/>
      </w:rPr>
      <w:fldChar w:fldCharType="separate"/>
    </w:r>
    <w:r>
      <w:rPr>
        <w:rStyle w:val="16"/>
      </w:rPr>
      <w:t>14</w:t>
    </w:r>
    <w:r>
      <w:rPr>
        <w:rStyle w:val="16"/>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rStyle w:val="16"/>
      </w:rPr>
      <w:fldChar w:fldCharType="begin"/>
    </w:r>
    <w:r>
      <w:rPr>
        <w:rStyle w:val="16"/>
      </w:rPr>
      <w:instrText xml:space="preserve"> PAGE </w:instrText>
    </w:r>
    <w:r>
      <w:rPr>
        <w:rStyle w:val="16"/>
      </w:rPr>
      <w:fldChar w:fldCharType="separate"/>
    </w:r>
    <w:r>
      <w:rPr>
        <w:rStyle w:val="16"/>
      </w:rPr>
      <w:t>11</w:t>
    </w:r>
    <w:r>
      <w:rPr>
        <w:rStyle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lang w:eastAsia="zh-CN"/>
      </w:rPr>
    </w:pPr>
    <w:r>
      <w:rPr>
        <w:rFonts w:hint="eastAsia"/>
        <w:lang w:eastAsia="zh-CN"/>
      </w:rPr>
      <w:tab/>
    </w:r>
    <w:r>
      <w:rPr>
        <w:rFonts w:hint="eastAsia"/>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lang w:val="en-US" w:eastAsia="zh-CN"/>
      </w:rPr>
      <w:t>山东财经大学本科毕业论文（设计）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val="en-US" w:eastAsia="zh-CN"/>
      </w:rPr>
      <w:t>山东财经大学本科毕业论文（设计）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4</w:t>
                    </w:r>
                    <w:r>
                      <w:fldChar w:fldCharType="end"/>
                    </w:r>
                  </w:p>
                </w:txbxContent>
              </v:textbox>
            </v:shape>
          </w:pict>
        </mc:Fallback>
      </mc:AlternateContent>
    </w:r>
    <w:r>
      <w:rPr>
        <w:rFonts w:hint="eastAsia"/>
        <w:lang w:val="en-US" w:eastAsia="zh-CN"/>
      </w:rPr>
      <w:t>山东财经大学本科毕业论文（设计）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6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kYzFhZGIzZDg4NTg4NDc2MWMxMjE3OGY1NTJkYzQifQ=="/>
  </w:docVars>
  <w:rsids>
    <w:rsidRoot w:val="00D71394"/>
    <w:rsid w:val="00006CE7"/>
    <w:rsid w:val="00012376"/>
    <w:rsid w:val="0001253C"/>
    <w:rsid w:val="0001539F"/>
    <w:rsid w:val="000220CB"/>
    <w:rsid w:val="000270C1"/>
    <w:rsid w:val="00041A84"/>
    <w:rsid w:val="00050EA3"/>
    <w:rsid w:val="00055482"/>
    <w:rsid w:val="00056899"/>
    <w:rsid w:val="000600F2"/>
    <w:rsid w:val="00095021"/>
    <w:rsid w:val="000A168D"/>
    <w:rsid w:val="000B4487"/>
    <w:rsid w:val="000D01C2"/>
    <w:rsid w:val="0010663A"/>
    <w:rsid w:val="0011265A"/>
    <w:rsid w:val="0011666C"/>
    <w:rsid w:val="00136FAE"/>
    <w:rsid w:val="00137045"/>
    <w:rsid w:val="0014205B"/>
    <w:rsid w:val="00142132"/>
    <w:rsid w:val="001470B5"/>
    <w:rsid w:val="0015565B"/>
    <w:rsid w:val="001564AC"/>
    <w:rsid w:val="0016111B"/>
    <w:rsid w:val="00174618"/>
    <w:rsid w:val="001855BC"/>
    <w:rsid w:val="00192E54"/>
    <w:rsid w:val="001B2480"/>
    <w:rsid w:val="001B6884"/>
    <w:rsid w:val="001C3914"/>
    <w:rsid w:val="001D38EF"/>
    <w:rsid w:val="001E0B62"/>
    <w:rsid w:val="001E4C4F"/>
    <w:rsid w:val="002134EF"/>
    <w:rsid w:val="00217CB9"/>
    <w:rsid w:val="00224A0C"/>
    <w:rsid w:val="00224B79"/>
    <w:rsid w:val="002418CF"/>
    <w:rsid w:val="00250B45"/>
    <w:rsid w:val="0026056F"/>
    <w:rsid w:val="00263B10"/>
    <w:rsid w:val="0027319B"/>
    <w:rsid w:val="002767A3"/>
    <w:rsid w:val="002862F8"/>
    <w:rsid w:val="002971A3"/>
    <w:rsid w:val="002B4DEA"/>
    <w:rsid w:val="002C60E0"/>
    <w:rsid w:val="002D6D1F"/>
    <w:rsid w:val="002E1FF2"/>
    <w:rsid w:val="002E330A"/>
    <w:rsid w:val="00305BDE"/>
    <w:rsid w:val="00317113"/>
    <w:rsid w:val="00317AFA"/>
    <w:rsid w:val="003320EB"/>
    <w:rsid w:val="00344B2E"/>
    <w:rsid w:val="00361364"/>
    <w:rsid w:val="00366A4D"/>
    <w:rsid w:val="003819DA"/>
    <w:rsid w:val="003904BD"/>
    <w:rsid w:val="00392344"/>
    <w:rsid w:val="003C4E6E"/>
    <w:rsid w:val="003C5093"/>
    <w:rsid w:val="003C6B20"/>
    <w:rsid w:val="003E43D7"/>
    <w:rsid w:val="003E5F93"/>
    <w:rsid w:val="003F37ED"/>
    <w:rsid w:val="003F7BC9"/>
    <w:rsid w:val="00417882"/>
    <w:rsid w:val="0045508D"/>
    <w:rsid w:val="0045682C"/>
    <w:rsid w:val="004C4E78"/>
    <w:rsid w:val="004E0C86"/>
    <w:rsid w:val="004E15F8"/>
    <w:rsid w:val="004E2984"/>
    <w:rsid w:val="004E3EA6"/>
    <w:rsid w:val="00514FA1"/>
    <w:rsid w:val="005357AE"/>
    <w:rsid w:val="005623CD"/>
    <w:rsid w:val="00567D01"/>
    <w:rsid w:val="00571BFD"/>
    <w:rsid w:val="0058312E"/>
    <w:rsid w:val="005959FD"/>
    <w:rsid w:val="005976EA"/>
    <w:rsid w:val="005A2EE6"/>
    <w:rsid w:val="005A6421"/>
    <w:rsid w:val="005B2BA5"/>
    <w:rsid w:val="005C6ECC"/>
    <w:rsid w:val="005D4B9A"/>
    <w:rsid w:val="005E1599"/>
    <w:rsid w:val="005E3990"/>
    <w:rsid w:val="005E738F"/>
    <w:rsid w:val="005F5256"/>
    <w:rsid w:val="005F67B8"/>
    <w:rsid w:val="00601766"/>
    <w:rsid w:val="006018B6"/>
    <w:rsid w:val="0061173D"/>
    <w:rsid w:val="0061320C"/>
    <w:rsid w:val="006229D2"/>
    <w:rsid w:val="00633F89"/>
    <w:rsid w:val="0063476F"/>
    <w:rsid w:val="0063691F"/>
    <w:rsid w:val="006374E2"/>
    <w:rsid w:val="00642D21"/>
    <w:rsid w:val="0065434C"/>
    <w:rsid w:val="006620EF"/>
    <w:rsid w:val="00684194"/>
    <w:rsid w:val="006926CC"/>
    <w:rsid w:val="006977A7"/>
    <w:rsid w:val="006F18C1"/>
    <w:rsid w:val="007119EA"/>
    <w:rsid w:val="00712233"/>
    <w:rsid w:val="007206F6"/>
    <w:rsid w:val="00722BDF"/>
    <w:rsid w:val="00732560"/>
    <w:rsid w:val="0073503B"/>
    <w:rsid w:val="00744FFF"/>
    <w:rsid w:val="00754EB7"/>
    <w:rsid w:val="00761863"/>
    <w:rsid w:val="00782809"/>
    <w:rsid w:val="00790710"/>
    <w:rsid w:val="00794A38"/>
    <w:rsid w:val="007B6055"/>
    <w:rsid w:val="007B648D"/>
    <w:rsid w:val="007C0700"/>
    <w:rsid w:val="007C2405"/>
    <w:rsid w:val="007C3BDC"/>
    <w:rsid w:val="007D35DF"/>
    <w:rsid w:val="007F040E"/>
    <w:rsid w:val="007F6343"/>
    <w:rsid w:val="0080585A"/>
    <w:rsid w:val="0081588A"/>
    <w:rsid w:val="00836518"/>
    <w:rsid w:val="008407F0"/>
    <w:rsid w:val="008428EE"/>
    <w:rsid w:val="008514DA"/>
    <w:rsid w:val="00866C32"/>
    <w:rsid w:val="00866C5F"/>
    <w:rsid w:val="008739FE"/>
    <w:rsid w:val="0088225F"/>
    <w:rsid w:val="00896C41"/>
    <w:rsid w:val="008B4D6C"/>
    <w:rsid w:val="008B73BC"/>
    <w:rsid w:val="008D7045"/>
    <w:rsid w:val="008F044C"/>
    <w:rsid w:val="00904BD4"/>
    <w:rsid w:val="0091692B"/>
    <w:rsid w:val="00917FAE"/>
    <w:rsid w:val="00925C28"/>
    <w:rsid w:val="00927D29"/>
    <w:rsid w:val="00927DBB"/>
    <w:rsid w:val="00934F58"/>
    <w:rsid w:val="00942127"/>
    <w:rsid w:val="00970821"/>
    <w:rsid w:val="00993B9D"/>
    <w:rsid w:val="009A0FBD"/>
    <w:rsid w:val="009B66E1"/>
    <w:rsid w:val="009C269E"/>
    <w:rsid w:val="009C5B56"/>
    <w:rsid w:val="009F1213"/>
    <w:rsid w:val="009F457B"/>
    <w:rsid w:val="00A10945"/>
    <w:rsid w:val="00A13470"/>
    <w:rsid w:val="00A22326"/>
    <w:rsid w:val="00A32747"/>
    <w:rsid w:val="00A42FEB"/>
    <w:rsid w:val="00A47CFF"/>
    <w:rsid w:val="00A51717"/>
    <w:rsid w:val="00A5201F"/>
    <w:rsid w:val="00A76D54"/>
    <w:rsid w:val="00A802DE"/>
    <w:rsid w:val="00A85C27"/>
    <w:rsid w:val="00A907A1"/>
    <w:rsid w:val="00A975AB"/>
    <w:rsid w:val="00AA1B88"/>
    <w:rsid w:val="00AA28A3"/>
    <w:rsid w:val="00AB33F9"/>
    <w:rsid w:val="00AD3E8E"/>
    <w:rsid w:val="00AD43E1"/>
    <w:rsid w:val="00AD7C99"/>
    <w:rsid w:val="00B15738"/>
    <w:rsid w:val="00B40BF1"/>
    <w:rsid w:val="00B53103"/>
    <w:rsid w:val="00B63DAE"/>
    <w:rsid w:val="00B67F9D"/>
    <w:rsid w:val="00B743B7"/>
    <w:rsid w:val="00B74D56"/>
    <w:rsid w:val="00B90563"/>
    <w:rsid w:val="00B9796D"/>
    <w:rsid w:val="00BC49D3"/>
    <w:rsid w:val="00BC6081"/>
    <w:rsid w:val="00BE7980"/>
    <w:rsid w:val="00C15378"/>
    <w:rsid w:val="00C218BB"/>
    <w:rsid w:val="00C268F1"/>
    <w:rsid w:val="00C364F2"/>
    <w:rsid w:val="00C40FE0"/>
    <w:rsid w:val="00C5794C"/>
    <w:rsid w:val="00C65EA2"/>
    <w:rsid w:val="00C671FB"/>
    <w:rsid w:val="00C73E8E"/>
    <w:rsid w:val="00C77892"/>
    <w:rsid w:val="00C77D32"/>
    <w:rsid w:val="00C87D0A"/>
    <w:rsid w:val="00CA0D2E"/>
    <w:rsid w:val="00CA3B22"/>
    <w:rsid w:val="00CA7E84"/>
    <w:rsid w:val="00CB01F8"/>
    <w:rsid w:val="00CB0D8B"/>
    <w:rsid w:val="00CC04DF"/>
    <w:rsid w:val="00CD6242"/>
    <w:rsid w:val="00CE1D99"/>
    <w:rsid w:val="00CE34C1"/>
    <w:rsid w:val="00D01020"/>
    <w:rsid w:val="00D027CD"/>
    <w:rsid w:val="00D065AB"/>
    <w:rsid w:val="00D12139"/>
    <w:rsid w:val="00D14F93"/>
    <w:rsid w:val="00D2003B"/>
    <w:rsid w:val="00D21A01"/>
    <w:rsid w:val="00D31769"/>
    <w:rsid w:val="00D35344"/>
    <w:rsid w:val="00D365B3"/>
    <w:rsid w:val="00D36D6B"/>
    <w:rsid w:val="00D40A84"/>
    <w:rsid w:val="00D50436"/>
    <w:rsid w:val="00D540A9"/>
    <w:rsid w:val="00D578FE"/>
    <w:rsid w:val="00D70206"/>
    <w:rsid w:val="00D71394"/>
    <w:rsid w:val="00D90967"/>
    <w:rsid w:val="00D90AFF"/>
    <w:rsid w:val="00D91167"/>
    <w:rsid w:val="00D92792"/>
    <w:rsid w:val="00DA119E"/>
    <w:rsid w:val="00DB3381"/>
    <w:rsid w:val="00DB7A11"/>
    <w:rsid w:val="00DC6154"/>
    <w:rsid w:val="00DD4431"/>
    <w:rsid w:val="00DE2B47"/>
    <w:rsid w:val="00DE31D4"/>
    <w:rsid w:val="00DE3AF0"/>
    <w:rsid w:val="00DF0B57"/>
    <w:rsid w:val="00DF5F25"/>
    <w:rsid w:val="00E008E5"/>
    <w:rsid w:val="00E63AC7"/>
    <w:rsid w:val="00E723F8"/>
    <w:rsid w:val="00E75309"/>
    <w:rsid w:val="00E92BCD"/>
    <w:rsid w:val="00EB6A5E"/>
    <w:rsid w:val="00EC674A"/>
    <w:rsid w:val="00EC7515"/>
    <w:rsid w:val="00ED1B02"/>
    <w:rsid w:val="00ED5D0B"/>
    <w:rsid w:val="00EE2B33"/>
    <w:rsid w:val="00EF5607"/>
    <w:rsid w:val="00F04C32"/>
    <w:rsid w:val="00F47B84"/>
    <w:rsid w:val="00F51D48"/>
    <w:rsid w:val="00F55B90"/>
    <w:rsid w:val="00F7183D"/>
    <w:rsid w:val="00F73729"/>
    <w:rsid w:val="00F74333"/>
    <w:rsid w:val="00F8249B"/>
    <w:rsid w:val="00F87392"/>
    <w:rsid w:val="00FA2D09"/>
    <w:rsid w:val="00FC208D"/>
    <w:rsid w:val="00FD175A"/>
    <w:rsid w:val="00FE06A1"/>
    <w:rsid w:val="00FE598F"/>
    <w:rsid w:val="00FF2EA8"/>
    <w:rsid w:val="00FF59E7"/>
    <w:rsid w:val="00FF6853"/>
    <w:rsid w:val="01F5166F"/>
    <w:rsid w:val="027605D2"/>
    <w:rsid w:val="03C42B10"/>
    <w:rsid w:val="04055B9E"/>
    <w:rsid w:val="071D4B6E"/>
    <w:rsid w:val="076254CD"/>
    <w:rsid w:val="076E5FBA"/>
    <w:rsid w:val="07F62747"/>
    <w:rsid w:val="0ABB49A2"/>
    <w:rsid w:val="0D0445A5"/>
    <w:rsid w:val="0D49327A"/>
    <w:rsid w:val="0DF7383C"/>
    <w:rsid w:val="0E145E94"/>
    <w:rsid w:val="0E464928"/>
    <w:rsid w:val="0E6C21C7"/>
    <w:rsid w:val="0F1972F3"/>
    <w:rsid w:val="0FF62E71"/>
    <w:rsid w:val="1088747A"/>
    <w:rsid w:val="11716160"/>
    <w:rsid w:val="128B14A3"/>
    <w:rsid w:val="135B70C7"/>
    <w:rsid w:val="137B1518"/>
    <w:rsid w:val="14207F57"/>
    <w:rsid w:val="142C45C0"/>
    <w:rsid w:val="143F024C"/>
    <w:rsid w:val="14D114A8"/>
    <w:rsid w:val="155D1312"/>
    <w:rsid w:val="157B7247"/>
    <w:rsid w:val="15915022"/>
    <w:rsid w:val="15FB06EE"/>
    <w:rsid w:val="17683B61"/>
    <w:rsid w:val="18CF36FA"/>
    <w:rsid w:val="1A7B777F"/>
    <w:rsid w:val="1CA13EA5"/>
    <w:rsid w:val="1CC40B0B"/>
    <w:rsid w:val="1D631052"/>
    <w:rsid w:val="1D963DA6"/>
    <w:rsid w:val="1E0F2F88"/>
    <w:rsid w:val="1E1E65FA"/>
    <w:rsid w:val="1E6D7CAF"/>
    <w:rsid w:val="1EA83E44"/>
    <w:rsid w:val="1F4D1930"/>
    <w:rsid w:val="20140D2A"/>
    <w:rsid w:val="20C95670"/>
    <w:rsid w:val="2144647C"/>
    <w:rsid w:val="21DD2133"/>
    <w:rsid w:val="21F31E3F"/>
    <w:rsid w:val="22535C9D"/>
    <w:rsid w:val="226409F2"/>
    <w:rsid w:val="22D53AB4"/>
    <w:rsid w:val="231350C9"/>
    <w:rsid w:val="23902210"/>
    <w:rsid w:val="23EB1DA2"/>
    <w:rsid w:val="23F724F4"/>
    <w:rsid w:val="24A4217B"/>
    <w:rsid w:val="2560231B"/>
    <w:rsid w:val="26E33204"/>
    <w:rsid w:val="26E81976"/>
    <w:rsid w:val="284F637D"/>
    <w:rsid w:val="28AF339E"/>
    <w:rsid w:val="2A497822"/>
    <w:rsid w:val="2A60320F"/>
    <w:rsid w:val="2E575575"/>
    <w:rsid w:val="2FC53627"/>
    <w:rsid w:val="3198627F"/>
    <w:rsid w:val="33AC4767"/>
    <w:rsid w:val="34627E5E"/>
    <w:rsid w:val="362557A0"/>
    <w:rsid w:val="365B4B65"/>
    <w:rsid w:val="367E6AA5"/>
    <w:rsid w:val="368D0E6A"/>
    <w:rsid w:val="36FB00F6"/>
    <w:rsid w:val="37757EA8"/>
    <w:rsid w:val="37F278A2"/>
    <w:rsid w:val="37FF7772"/>
    <w:rsid w:val="3921673D"/>
    <w:rsid w:val="392E030F"/>
    <w:rsid w:val="3B0C6854"/>
    <w:rsid w:val="3B516536"/>
    <w:rsid w:val="3C805325"/>
    <w:rsid w:val="3C9927A2"/>
    <w:rsid w:val="3C9D3D14"/>
    <w:rsid w:val="3D687585"/>
    <w:rsid w:val="40270B72"/>
    <w:rsid w:val="41055DF9"/>
    <w:rsid w:val="41692456"/>
    <w:rsid w:val="417C08E0"/>
    <w:rsid w:val="4211283C"/>
    <w:rsid w:val="42424E2B"/>
    <w:rsid w:val="428B617A"/>
    <w:rsid w:val="43704606"/>
    <w:rsid w:val="439E0787"/>
    <w:rsid w:val="44F81395"/>
    <w:rsid w:val="456B28EB"/>
    <w:rsid w:val="462E414C"/>
    <w:rsid w:val="4672394C"/>
    <w:rsid w:val="46D7288E"/>
    <w:rsid w:val="47F334B6"/>
    <w:rsid w:val="480942D2"/>
    <w:rsid w:val="48313978"/>
    <w:rsid w:val="48677399"/>
    <w:rsid w:val="493D516C"/>
    <w:rsid w:val="4B8E5887"/>
    <w:rsid w:val="4BD72A88"/>
    <w:rsid w:val="4BF61160"/>
    <w:rsid w:val="4C520360"/>
    <w:rsid w:val="4CA67B7B"/>
    <w:rsid w:val="4D7F5185"/>
    <w:rsid w:val="4E0B6A19"/>
    <w:rsid w:val="4E261AA5"/>
    <w:rsid w:val="4E501182"/>
    <w:rsid w:val="4EE32869"/>
    <w:rsid w:val="500B0F52"/>
    <w:rsid w:val="50BE133E"/>
    <w:rsid w:val="518B3894"/>
    <w:rsid w:val="5201572C"/>
    <w:rsid w:val="52173BDE"/>
    <w:rsid w:val="523070CB"/>
    <w:rsid w:val="52340E90"/>
    <w:rsid w:val="5452714F"/>
    <w:rsid w:val="556233C2"/>
    <w:rsid w:val="559317CE"/>
    <w:rsid w:val="559D4F72"/>
    <w:rsid w:val="55FF50B5"/>
    <w:rsid w:val="572A43B4"/>
    <w:rsid w:val="586B7B15"/>
    <w:rsid w:val="58FA7DB6"/>
    <w:rsid w:val="59826B8A"/>
    <w:rsid w:val="599B7154"/>
    <w:rsid w:val="59AA17DC"/>
    <w:rsid w:val="5A663955"/>
    <w:rsid w:val="5BE556CE"/>
    <w:rsid w:val="5BEF34D6"/>
    <w:rsid w:val="5C14118E"/>
    <w:rsid w:val="5D13683A"/>
    <w:rsid w:val="5DCB137D"/>
    <w:rsid w:val="5EA031AD"/>
    <w:rsid w:val="5EAA7B88"/>
    <w:rsid w:val="5F4841D2"/>
    <w:rsid w:val="5FD50DC0"/>
    <w:rsid w:val="60026452"/>
    <w:rsid w:val="626F711E"/>
    <w:rsid w:val="65E77FAF"/>
    <w:rsid w:val="691D5B26"/>
    <w:rsid w:val="697F058F"/>
    <w:rsid w:val="6B1059C5"/>
    <w:rsid w:val="6C3B29EA"/>
    <w:rsid w:val="6D75059C"/>
    <w:rsid w:val="6D8E0B99"/>
    <w:rsid w:val="6DDF784E"/>
    <w:rsid w:val="6E3F3154"/>
    <w:rsid w:val="6ED67E50"/>
    <w:rsid w:val="708228FC"/>
    <w:rsid w:val="70F46BBC"/>
    <w:rsid w:val="71707127"/>
    <w:rsid w:val="72231A1E"/>
    <w:rsid w:val="74F17E67"/>
    <w:rsid w:val="75FE747D"/>
    <w:rsid w:val="78207B78"/>
    <w:rsid w:val="78C0202A"/>
    <w:rsid w:val="78D91CE2"/>
    <w:rsid w:val="78F65A4C"/>
    <w:rsid w:val="79005C28"/>
    <w:rsid w:val="79A03FCF"/>
    <w:rsid w:val="79F3642F"/>
    <w:rsid w:val="7B3A4316"/>
    <w:rsid w:val="7D256900"/>
    <w:rsid w:val="7D2E5047"/>
    <w:rsid w:val="7D5E6067"/>
    <w:rsid w:val="7F1B6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3">
    <w:name w:val="caption"/>
    <w:basedOn w:val="1"/>
    <w:next w:val="1"/>
    <w:qFormat/>
    <w:uiPriority w:val="0"/>
    <w:rPr>
      <w:rFonts w:ascii="Arial" w:hAnsi="Arial" w:eastAsia="黑体" w:cs="Arial"/>
      <w:sz w:val="20"/>
      <w:szCs w:val="20"/>
    </w:rPr>
  </w:style>
  <w:style w:type="paragraph" w:styleId="4">
    <w:name w:val="annotation text"/>
    <w:basedOn w:val="1"/>
    <w:link w:val="35"/>
    <w:qFormat/>
    <w:uiPriority w:val="0"/>
    <w:pPr>
      <w:jc w:val="left"/>
    </w:pPr>
  </w:style>
  <w:style w:type="paragraph" w:styleId="5">
    <w:name w:val="Body Text"/>
    <w:basedOn w:val="1"/>
    <w:qFormat/>
    <w:uiPriority w:val="0"/>
    <w:pPr>
      <w:spacing w:after="120"/>
    </w:pPr>
  </w:style>
  <w:style w:type="paragraph" w:styleId="6">
    <w:name w:val="Body Text Indent"/>
    <w:basedOn w:val="1"/>
    <w:qFormat/>
    <w:uiPriority w:val="0"/>
    <w:pPr>
      <w:ind w:firstLine="479" w:firstLineChars="171"/>
    </w:pPr>
    <w:rPr>
      <w:color w:val="000000"/>
      <w:sz w:val="28"/>
    </w:rPr>
  </w:style>
  <w:style w:type="paragraph" w:styleId="7">
    <w:name w:val="Date"/>
    <w:basedOn w:val="1"/>
    <w:next w:val="1"/>
    <w:uiPriority w:val="0"/>
    <w:pPr>
      <w:ind w:left="100" w:leftChars="2500"/>
    </w:pPr>
  </w:style>
  <w:style w:type="paragraph" w:styleId="8">
    <w:name w:val="Balloon Text"/>
    <w:basedOn w:val="1"/>
    <w:semiHidden/>
    <w:qFormat/>
    <w:uiPriority w:val="0"/>
    <w:rPr>
      <w:sz w:val="18"/>
      <w:szCs w:val="18"/>
    </w:rPr>
  </w:style>
  <w:style w:type="paragraph" w:styleId="9">
    <w:name w:val="footer"/>
    <w:basedOn w:val="1"/>
    <w:link w:val="21"/>
    <w:qFormat/>
    <w:uiPriority w:val="0"/>
    <w:pPr>
      <w:tabs>
        <w:tab w:val="center" w:pos="4153"/>
        <w:tab w:val="right" w:pos="8306"/>
      </w:tabs>
      <w:snapToGrid w:val="0"/>
      <w:jc w:val="left"/>
    </w:pPr>
    <w:rPr>
      <w:sz w:val="18"/>
      <w:szCs w:val="18"/>
    </w:rPr>
  </w:style>
  <w:style w:type="paragraph" w:styleId="10">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11">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2">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3">
    <w:name w:val="annotation subject"/>
    <w:basedOn w:val="4"/>
    <w:next w:val="4"/>
    <w:link w:val="36"/>
    <w:qFormat/>
    <w:uiPriority w:val="0"/>
    <w:rPr>
      <w:b/>
      <w:bCs/>
    </w:rPr>
  </w:style>
  <w:style w:type="character" w:styleId="16">
    <w:name w:val="page number"/>
    <w:basedOn w:val="15"/>
    <w:qFormat/>
    <w:uiPriority w:val="0"/>
  </w:style>
  <w:style w:type="character" w:styleId="17">
    <w:name w:val="Hyperlink"/>
    <w:qFormat/>
    <w:uiPriority w:val="99"/>
    <w:rPr>
      <w:rFonts w:cs="Times New Roman"/>
      <w:color w:val="0000FF"/>
      <w:u w:val="single"/>
    </w:rPr>
  </w:style>
  <w:style w:type="character" w:styleId="18">
    <w:name w:val="annotation reference"/>
    <w:basedOn w:val="15"/>
    <w:qFormat/>
    <w:uiPriority w:val="0"/>
    <w:rPr>
      <w:sz w:val="21"/>
      <w:szCs w:val="21"/>
    </w:rPr>
  </w:style>
  <w:style w:type="paragraph" w:customStyle="1" w:styleId="19">
    <w:name w:val="目录 11"/>
    <w:basedOn w:val="1"/>
    <w:next w:val="1"/>
    <w:qFormat/>
    <w:uiPriority w:val="39"/>
    <w:pPr>
      <w:spacing w:line="400" w:lineRule="exact"/>
      <w:jc w:val="left"/>
    </w:pPr>
    <w:rPr>
      <w:bCs/>
      <w:caps/>
      <w:szCs w:val="21"/>
    </w:rPr>
  </w:style>
  <w:style w:type="character" w:customStyle="1" w:styleId="20">
    <w:name w:val="页眉 Char"/>
    <w:link w:val="10"/>
    <w:qFormat/>
    <w:uiPriority w:val="0"/>
    <w:rPr>
      <w:rFonts w:eastAsia="宋体"/>
      <w:kern w:val="2"/>
      <w:sz w:val="18"/>
      <w:szCs w:val="18"/>
      <w:lang w:val="en-US" w:eastAsia="zh-CN" w:bidi="ar-SA"/>
    </w:rPr>
  </w:style>
  <w:style w:type="character" w:customStyle="1" w:styleId="21">
    <w:name w:val="页脚 Char"/>
    <w:link w:val="9"/>
    <w:qFormat/>
    <w:uiPriority w:val="0"/>
    <w:rPr>
      <w:rFonts w:eastAsia="宋体"/>
      <w:kern w:val="2"/>
      <w:sz w:val="18"/>
      <w:szCs w:val="18"/>
      <w:lang w:val="en-US" w:eastAsia="zh-CN" w:bidi="ar-SA"/>
    </w:rPr>
  </w:style>
  <w:style w:type="paragraph" w:customStyle="1" w:styleId="22">
    <w:name w:val="目录 21"/>
    <w:basedOn w:val="1"/>
    <w:next w:val="1"/>
    <w:qFormat/>
    <w:uiPriority w:val="39"/>
    <w:pPr>
      <w:tabs>
        <w:tab w:val="right" w:leader="dot" w:pos="9344"/>
      </w:tabs>
      <w:spacing w:line="400" w:lineRule="exact"/>
      <w:ind w:left="210"/>
      <w:jc w:val="left"/>
    </w:pPr>
    <w:rPr>
      <w:smallCaps/>
      <w:szCs w:val="20"/>
    </w:rPr>
  </w:style>
  <w:style w:type="paragraph" w:customStyle="1" w:styleId="23">
    <w:name w:val="目录 31"/>
    <w:basedOn w:val="1"/>
    <w:next w:val="1"/>
    <w:qFormat/>
    <w:uiPriority w:val="39"/>
    <w:pPr>
      <w:tabs>
        <w:tab w:val="right" w:leader="dot" w:pos="9344"/>
      </w:tabs>
      <w:spacing w:line="400" w:lineRule="exact"/>
      <w:ind w:left="420"/>
      <w:jc w:val="left"/>
    </w:pPr>
    <w:rPr>
      <w:iCs/>
      <w:szCs w:val="20"/>
    </w:rPr>
  </w:style>
  <w:style w:type="paragraph" w:customStyle="1" w:styleId="24">
    <w:name w:val="目录 41"/>
    <w:basedOn w:val="1"/>
    <w:next w:val="1"/>
    <w:semiHidden/>
    <w:qFormat/>
    <w:uiPriority w:val="0"/>
    <w:pPr>
      <w:spacing w:line="400" w:lineRule="exact"/>
      <w:ind w:left="629"/>
      <w:jc w:val="left"/>
    </w:pPr>
    <w:rPr>
      <w:szCs w:val="18"/>
    </w:rPr>
  </w:style>
  <w:style w:type="paragraph" w:customStyle="1" w:styleId="25">
    <w:name w:val="目录 51"/>
    <w:basedOn w:val="1"/>
    <w:next w:val="1"/>
    <w:semiHidden/>
    <w:qFormat/>
    <w:uiPriority w:val="0"/>
    <w:pPr>
      <w:ind w:left="840"/>
      <w:jc w:val="left"/>
    </w:pPr>
    <w:rPr>
      <w:sz w:val="18"/>
      <w:szCs w:val="18"/>
    </w:rPr>
  </w:style>
  <w:style w:type="paragraph" w:customStyle="1" w:styleId="26">
    <w:name w:val="目录 61"/>
    <w:basedOn w:val="1"/>
    <w:next w:val="1"/>
    <w:semiHidden/>
    <w:qFormat/>
    <w:uiPriority w:val="0"/>
    <w:pPr>
      <w:ind w:left="1050"/>
      <w:jc w:val="left"/>
    </w:pPr>
    <w:rPr>
      <w:sz w:val="18"/>
      <w:szCs w:val="18"/>
    </w:rPr>
  </w:style>
  <w:style w:type="paragraph" w:customStyle="1" w:styleId="27">
    <w:name w:val="目录 71"/>
    <w:basedOn w:val="1"/>
    <w:next w:val="1"/>
    <w:semiHidden/>
    <w:qFormat/>
    <w:uiPriority w:val="0"/>
    <w:pPr>
      <w:ind w:left="1260"/>
      <w:jc w:val="left"/>
    </w:pPr>
    <w:rPr>
      <w:sz w:val="18"/>
      <w:szCs w:val="18"/>
    </w:rPr>
  </w:style>
  <w:style w:type="paragraph" w:customStyle="1" w:styleId="28">
    <w:name w:val="目录 81"/>
    <w:basedOn w:val="1"/>
    <w:next w:val="1"/>
    <w:semiHidden/>
    <w:qFormat/>
    <w:uiPriority w:val="0"/>
    <w:pPr>
      <w:ind w:left="1470"/>
      <w:jc w:val="left"/>
    </w:pPr>
    <w:rPr>
      <w:sz w:val="18"/>
      <w:szCs w:val="18"/>
    </w:rPr>
  </w:style>
  <w:style w:type="paragraph" w:customStyle="1" w:styleId="29">
    <w:name w:val="目录 91"/>
    <w:basedOn w:val="1"/>
    <w:next w:val="1"/>
    <w:semiHidden/>
    <w:qFormat/>
    <w:uiPriority w:val="0"/>
    <w:pPr>
      <w:ind w:left="1680"/>
      <w:jc w:val="left"/>
    </w:pPr>
    <w:rPr>
      <w:sz w:val="18"/>
      <w:szCs w:val="18"/>
    </w:rPr>
  </w:style>
  <w:style w:type="character" w:customStyle="1" w:styleId="30">
    <w:name w:val="apple-style-span"/>
    <w:basedOn w:val="15"/>
    <w:qFormat/>
    <w:uiPriority w:val="0"/>
  </w:style>
  <w:style w:type="character" w:customStyle="1" w:styleId="31">
    <w:name w:val="已访问的超链接1"/>
    <w:qFormat/>
    <w:uiPriority w:val="0"/>
    <w:rPr>
      <w:color w:val="800080"/>
      <w:u w:val="single"/>
    </w:rPr>
  </w:style>
  <w:style w:type="paragraph" w:customStyle="1" w:styleId="32">
    <w:name w:val="tgt2"/>
    <w:basedOn w:val="1"/>
    <w:qFormat/>
    <w:uiPriority w:val="0"/>
    <w:pPr>
      <w:widowControl/>
      <w:spacing w:after="150" w:line="360" w:lineRule="auto"/>
      <w:jc w:val="left"/>
    </w:pPr>
    <w:rPr>
      <w:rFonts w:ascii="宋体" w:hAnsi="宋体" w:cs="宋体"/>
      <w:b/>
      <w:bCs/>
      <w:kern w:val="0"/>
      <w:sz w:val="36"/>
      <w:szCs w:val="36"/>
    </w:rPr>
  </w:style>
  <w:style w:type="paragraph" w:styleId="33">
    <w:name w:val="List Paragraph"/>
    <w:basedOn w:val="1"/>
    <w:qFormat/>
    <w:uiPriority w:val="34"/>
    <w:pPr>
      <w:ind w:firstLine="420" w:firstLineChars="200"/>
    </w:pPr>
    <w:rPr>
      <w:rFonts w:ascii="Calibri" w:hAnsi="Calibri"/>
      <w:szCs w:val="22"/>
    </w:rPr>
  </w:style>
  <w:style w:type="table" w:customStyle="1" w:styleId="34">
    <w:name w:val="Grid Table Light"/>
    <w:basedOn w:val="14"/>
    <w:qFormat/>
    <w:uiPriority w:val="40"/>
    <w:rPr>
      <w:rFonts w:ascii="Calibri" w:hAnsi="Calibri"/>
      <w:kern w:val="2"/>
      <w:sz w:val="21"/>
      <w:szCs w:val="22"/>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character" w:customStyle="1" w:styleId="35">
    <w:name w:val="批注文字 Char"/>
    <w:basedOn w:val="15"/>
    <w:link w:val="4"/>
    <w:qFormat/>
    <w:uiPriority w:val="0"/>
    <w:rPr>
      <w:kern w:val="2"/>
      <w:sz w:val="21"/>
      <w:szCs w:val="24"/>
    </w:rPr>
  </w:style>
  <w:style w:type="character" w:customStyle="1" w:styleId="36">
    <w:name w:val="批注主题 Char"/>
    <w:basedOn w:val="35"/>
    <w:link w:val="13"/>
    <w:qFormat/>
    <w:uiPriority w:val="0"/>
    <w:rPr>
      <w:b/>
      <w:bCs/>
      <w:kern w:val="2"/>
      <w:sz w:val="21"/>
      <w:szCs w:val="24"/>
    </w:rPr>
  </w:style>
  <w:style w:type="character" w:styleId="37">
    <w:name w:val="Placeholder Text"/>
    <w:basedOn w:val="15"/>
    <w:semiHidden/>
    <w:qFormat/>
    <w:uiPriority w:val="99"/>
    <w:rPr>
      <w:color w:val="808080"/>
    </w:rPr>
  </w:style>
  <w:style w:type="paragraph" w:customStyle="1" w:styleId="38">
    <w:name w:val="论文标题"/>
    <w:basedOn w:val="1"/>
    <w:qFormat/>
    <w:uiPriority w:val="0"/>
    <w:pPr>
      <w:spacing w:before="162" w:beforeLines="50" w:after="162" w:afterLines="50"/>
      <w:jc w:val="center"/>
      <w:outlineLvl w:val="0"/>
    </w:pPr>
    <w:rPr>
      <w:rFonts w:ascii="黑体" w:hAnsi="黑体" w:eastAsia="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chart" Target="charts/chart1.xml"/><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embeddings/oleObject1.bin"/></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城镇职工养老保险覆盖率及退休职工占比</a:t>
            </a:r>
            <a:endParaRPr lang="zh-CN" altLang="en-US"/>
          </a:p>
        </c:rich>
      </c:tx>
      <c:layout/>
      <c:overlay val="0"/>
      <c:spPr>
        <a:noFill/>
        <a:ln>
          <a:noFill/>
        </a:ln>
        <a:effectLst/>
      </c:spPr>
    </c:title>
    <c:autoTitleDeleted val="0"/>
    <c:plotArea>
      <c:layout>
        <c:manualLayout>
          <c:layoutTarget val="inner"/>
          <c:xMode val="edge"/>
          <c:yMode val="edge"/>
          <c:x val="0.0913917990736525"/>
          <c:y val="0.180393700787402"/>
          <c:w val="0.585942789036075"/>
          <c:h val="0.716836541265675"/>
        </c:manualLayout>
      </c:layout>
      <c:barChart>
        <c:barDir val="col"/>
        <c:grouping val="stacked"/>
        <c:varyColors val="0"/>
        <c:ser>
          <c:idx val="0"/>
          <c:order val="0"/>
          <c:tx>
            <c:strRef>
              <c:f>Sheet26!$C$1</c:f>
              <c:strCache>
                <c:ptCount val="1"/>
                <c:pt idx="0">
                  <c:v>参保职工人数（万人）</c:v>
                </c:pt>
              </c:strCache>
            </c:strRef>
          </c:tx>
          <c:spPr>
            <a:solidFill>
              <a:schemeClr val="accent1"/>
            </a:solidFill>
            <a:ln>
              <a:noFill/>
            </a:ln>
            <a:effectLst/>
          </c:spPr>
          <c:invertIfNegative val="0"/>
          <c:dLbls>
            <c:delete val="1"/>
          </c:dLbls>
          <c:cat>
            <c:strRef>
              <c:f>Sheet26!$A$2:$A$6</c:f>
              <c:strCache>
                <c:ptCount val="5"/>
                <c:pt idx="0">
                  <c:v>2014</c:v>
                </c:pt>
                <c:pt idx="1">
                  <c:v>2015</c:v>
                </c:pt>
                <c:pt idx="2">
                  <c:v>2016</c:v>
                </c:pt>
                <c:pt idx="3">
                  <c:v>2017</c:v>
                </c:pt>
                <c:pt idx="4">
                  <c:v>2018</c:v>
                </c:pt>
              </c:strCache>
            </c:strRef>
          </c:cat>
          <c:val>
            <c:numRef>
              <c:f>Sheet26!$C$2:$C$6</c:f>
              <c:numCache>
                <c:formatCode>General</c:formatCode>
                <c:ptCount val="5"/>
                <c:pt idx="0">
                  <c:v>2370.2</c:v>
                </c:pt>
                <c:pt idx="1">
                  <c:v>2477.5</c:v>
                </c:pt>
                <c:pt idx="2">
                  <c:v>2576.4</c:v>
                </c:pt>
                <c:pt idx="3">
                  <c:v>2660.9</c:v>
                </c:pt>
                <c:pt idx="4">
                  <c:v>2762.7</c:v>
                </c:pt>
              </c:numCache>
            </c:numRef>
          </c:val>
        </c:ser>
        <c:ser>
          <c:idx val="1"/>
          <c:order val="1"/>
          <c:tx>
            <c:strRef>
              <c:f>Sheet26!$D$1</c:f>
              <c:strCache>
                <c:ptCount val="1"/>
                <c:pt idx="0">
                  <c:v>未参保职工人数（万人）</c:v>
                </c:pt>
              </c:strCache>
            </c:strRef>
          </c:tx>
          <c:spPr>
            <a:solidFill>
              <a:schemeClr val="accent1">
                <a:lumMod val="60000"/>
                <a:lumOff val="40000"/>
              </a:schemeClr>
            </a:solidFill>
            <a:ln>
              <a:noFill/>
            </a:ln>
            <a:effectLst/>
          </c:spPr>
          <c:invertIfNegative val="0"/>
          <c:dLbls>
            <c:delete val="1"/>
          </c:dLbls>
          <c:cat>
            <c:strRef>
              <c:f>Sheet26!$A$2:$A$6</c:f>
              <c:strCache>
                <c:ptCount val="5"/>
                <c:pt idx="0">
                  <c:v>2014</c:v>
                </c:pt>
                <c:pt idx="1">
                  <c:v>2015</c:v>
                </c:pt>
                <c:pt idx="2">
                  <c:v>2016</c:v>
                </c:pt>
                <c:pt idx="3">
                  <c:v>2017</c:v>
                </c:pt>
                <c:pt idx="4">
                  <c:v>2018</c:v>
                </c:pt>
              </c:strCache>
            </c:strRef>
          </c:cat>
          <c:val>
            <c:numRef>
              <c:f>Sheet26!$D$2:$D$6</c:f>
              <c:numCache>
                <c:formatCode>General</c:formatCode>
                <c:ptCount val="5"/>
                <c:pt idx="0">
                  <c:v>830.8</c:v>
                </c:pt>
                <c:pt idx="1">
                  <c:v>778.4</c:v>
                </c:pt>
                <c:pt idx="2">
                  <c:v>701.9</c:v>
                </c:pt>
                <c:pt idx="3">
                  <c:v>570.5</c:v>
                </c:pt>
                <c:pt idx="4">
                  <c:v>282</c:v>
                </c:pt>
              </c:numCache>
            </c:numRef>
          </c:val>
        </c:ser>
        <c:dLbls>
          <c:showLegendKey val="0"/>
          <c:showVal val="0"/>
          <c:showCatName val="0"/>
          <c:showSerName val="0"/>
          <c:showPercent val="0"/>
          <c:showBubbleSize val="0"/>
        </c:dLbls>
        <c:gapWidth val="48"/>
        <c:overlap val="100"/>
        <c:axId val="731551816"/>
        <c:axId val="731551424"/>
      </c:barChart>
      <c:lineChart>
        <c:grouping val="standard"/>
        <c:varyColors val="0"/>
        <c:ser>
          <c:idx val="2"/>
          <c:order val="2"/>
          <c:tx>
            <c:strRef>
              <c:f>Sheet26!$E$1</c:f>
              <c:strCache>
                <c:ptCount val="1"/>
                <c:pt idx="0">
                  <c:v>养老保险覆盖率</c:v>
                </c:pt>
              </c:strCache>
            </c:strRef>
          </c:tx>
          <c:spPr>
            <a:ln w="28575" cap="rnd">
              <a:solidFill>
                <a:schemeClr val="accent2"/>
              </a:solidFill>
              <a:round/>
            </a:ln>
            <a:effectLst/>
          </c:spPr>
          <c:marker>
            <c:symbol val="circle"/>
            <c:size val="5"/>
            <c:spPr>
              <a:solidFill>
                <a:schemeClr val="accent2">
                  <a:lumMod val="75000"/>
                </a:schemeClr>
              </a:solidFill>
              <a:ln w="9525">
                <a:solidFill>
                  <a:schemeClr val="accent2">
                    <a:lumMod val="60000"/>
                    <a:lumOff val="40000"/>
                  </a:schemeClr>
                </a:solidFill>
              </a:ln>
              <a:effectLst/>
            </c:spPr>
          </c:marker>
          <c:dLbls>
            <c:numFmt formatCode="0.00%" sourceLinked="0"/>
            <c:spPr>
              <a:noFill/>
              <a:ln>
                <a:noFill/>
              </a:ln>
              <a:effectLst/>
            </c:spPr>
            <c:txPr>
              <a:bodyPr rot="0" spcFirstLastPara="1" vertOverflow="ellipsis" horzOverflow="clip" vert="horz" wrap="square" lIns="0" tIns="36000" rIns="38100" bIns="19050" anchor="ctr" anchorCtr="1">
                <a:spAutoFit/>
              </a:bodyPr>
              <a:lstStyle/>
              <a:p>
                <a:pPr>
                  <a:defRPr lang="zh-CN" sz="900" b="0" i="0" u="none" strike="noStrike" kern="1200" baseline="0">
                    <a:ln w="6350">
                      <a:solidFill>
                        <a:schemeClr val="accent1">
                          <a:lumMod val="50000"/>
                        </a:schemeClr>
                      </a:solidFill>
                    </a:ln>
                    <a:solidFill>
                      <a:schemeClr val="accent1">
                        <a:lumMod val="50000"/>
                      </a:schemeClr>
                    </a:solidFill>
                    <a:latin typeface="+mn-lt"/>
                    <a:ea typeface="+mn-ea"/>
                    <a:cs typeface="+mn-cs"/>
                  </a:defRPr>
                </a:pPr>
              </a:p>
            </c:txPr>
            <c:dLblPos val="b"/>
            <c:showLegendKey val="0"/>
            <c:showVal val="1"/>
            <c:showCatName val="0"/>
            <c:showSerName val="0"/>
            <c:showPercent val="0"/>
            <c:showBubbleSize val="0"/>
            <c:showLeaderLines val="0"/>
            <c:extLst>
              <c:ext xmlns:c15="http://schemas.microsoft.com/office/drawing/2012/chart" uri="{CE6537A1-D6FC-4f65-9D91-7224C49458BB}">
                <c15:layout/>
                <c15:showLeaderLines val="0"/>
                <c15:leaderLines>
                  <c:spPr>
                    <a:ln w="9525" cap="flat" cmpd="sng" algn="ctr">
                      <a:solidFill>
                        <a:schemeClr val="tx1">
                          <a:lumMod val="35000"/>
                          <a:lumOff val="65000"/>
                        </a:schemeClr>
                      </a:solidFill>
                      <a:round/>
                    </a:ln>
                    <a:effectLst/>
                  </c:spPr>
                </c15:leaderLines>
              </c:ext>
            </c:extLst>
          </c:dLbls>
          <c:cat>
            <c:strRef>
              <c:f>Sheet26!$A$2:$A$6</c:f>
              <c:strCache>
                <c:ptCount val="5"/>
                <c:pt idx="0">
                  <c:v>2014</c:v>
                </c:pt>
                <c:pt idx="1">
                  <c:v>2015</c:v>
                </c:pt>
                <c:pt idx="2">
                  <c:v>2016</c:v>
                </c:pt>
                <c:pt idx="3">
                  <c:v>2017</c:v>
                </c:pt>
                <c:pt idx="4">
                  <c:v>2018</c:v>
                </c:pt>
              </c:strCache>
            </c:strRef>
          </c:cat>
          <c:val>
            <c:numRef>
              <c:f>Sheet26!$E$2:$E$6</c:f>
              <c:numCache>
                <c:formatCode>0.00%</c:formatCode>
                <c:ptCount val="5"/>
                <c:pt idx="0">
                  <c:v>0.740456107466417</c:v>
                </c:pt>
                <c:pt idx="1">
                  <c:v>0.760926318375871</c:v>
                </c:pt>
                <c:pt idx="2">
                  <c:v>0.785895128572736</c:v>
                </c:pt>
                <c:pt idx="3">
                  <c:v>0.823451135730643</c:v>
                </c:pt>
                <c:pt idx="4">
                  <c:v>0.907380037442112</c:v>
                </c:pt>
              </c:numCache>
            </c:numRef>
          </c:val>
          <c:smooth val="0"/>
        </c:ser>
        <c:ser>
          <c:idx val="3"/>
          <c:order val="3"/>
          <c:tx>
            <c:strRef>
              <c:f>Sheet26!$F$1</c:f>
              <c:strCache>
                <c:ptCount val="1"/>
                <c:pt idx="0">
                  <c:v>离退休职工占比</c:v>
                </c:pt>
              </c:strCache>
            </c:strRef>
          </c:tx>
          <c:spPr>
            <a:ln w="28575" cap="rnd">
              <a:solidFill>
                <a:schemeClr val="accent6"/>
              </a:solidFill>
              <a:round/>
            </a:ln>
            <a:effectLst/>
          </c:spPr>
          <c:marker>
            <c:symbol val="circle"/>
            <c:size val="5"/>
            <c:spPr>
              <a:solidFill>
                <a:srgbClr val="FFC000"/>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ln w="3175">
                      <a:solidFill>
                        <a:schemeClr val="tx1">
                          <a:lumMod val="85000"/>
                          <a:lumOff val="15000"/>
                        </a:schemeClr>
                      </a:solidFill>
                    </a:ln>
                    <a:solidFill>
                      <a:schemeClr val="tx1">
                        <a:lumMod val="85000"/>
                        <a:lumOff val="1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val>
            <c:numRef>
              <c:f>Sheet26!$F$2:$F$6</c:f>
              <c:numCache>
                <c:formatCode>0.00%</c:formatCode>
                <c:ptCount val="5"/>
                <c:pt idx="0">
                  <c:v>0.215804573453717</c:v>
                </c:pt>
                <c:pt idx="1">
                  <c:v>0.223773965691221</c:v>
                </c:pt>
                <c:pt idx="2">
                  <c:v>0.235755317497283</c:v>
                </c:pt>
                <c:pt idx="3">
                  <c:v>0.240069149535871</c:v>
                </c:pt>
                <c:pt idx="4">
                  <c:v>0.245086328591595</c:v>
                </c:pt>
              </c:numCache>
            </c:numRef>
          </c:val>
          <c:smooth val="0"/>
        </c:ser>
        <c:dLbls>
          <c:showLegendKey val="0"/>
          <c:showVal val="0"/>
          <c:showCatName val="0"/>
          <c:showSerName val="0"/>
          <c:showPercent val="0"/>
          <c:showBubbleSize val="0"/>
        </c:dLbls>
        <c:marker val="1"/>
        <c:smooth val="0"/>
        <c:axId val="624500888"/>
        <c:axId val="624502848"/>
      </c:lineChart>
      <c:catAx>
        <c:axId val="731551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1551424"/>
        <c:crosses val="autoZero"/>
        <c:auto val="1"/>
        <c:lblAlgn val="ctr"/>
        <c:lblOffset val="100"/>
        <c:noMultiLvlLbl val="0"/>
      </c:catAx>
      <c:valAx>
        <c:axId val="731551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31551816"/>
        <c:crosses val="autoZero"/>
        <c:crossBetween val="between"/>
      </c:valAx>
      <c:catAx>
        <c:axId val="624500888"/>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4502848"/>
        <c:crosses val="autoZero"/>
        <c:auto val="1"/>
        <c:lblAlgn val="ctr"/>
        <c:lblOffset val="100"/>
        <c:noMultiLvlLbl val="0"/>
      </c:catAx>
      <c:valAx>
        <c:axId val="624502848"/>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24500888"/>
        <c:crosses val="max"/>
        <c:crossBetween val="between"/>
      </c:valAx>
      <c:spPr>
        <a:noFill/>
        <a:ln>
          <a:noFill/>
        </a:ln>
        <a:effectLst/>
      </c:spPr>
    </c:plotArea>
    <c:legend>
      <c:legendPos val="r"/>
      <c:layout>
        <c:manualLayout>
          <c:xMode val="edge"/>
          <c:yMode val="edge"/>
          <c:x val="0.790884674354494"/>
          <c:y val="0.329074506689812"/>
          <c:w val="0.179624702798063"/>
          <c:h val="0.65059178755113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no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山东经济学院迎评办</Company>
  <Pages>21</Pages>
  <Words>11246</Words>
  <Characters>14608</Characters>
  <Lines>124</Lines>
  <Paragraphs>35</Paragraphs>
  <TotalTime>12</TotalTime>
  <ScaleCrop>false</ScaleCrop>
  <LinksUpToDate>false</LinksUpToDate>
  <CharactersWithSpaces>15303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2021-04-08T06:25:00Z</dcterms:created>
  <dc:creator>王琦</dc:creator>
  <dc:description>本文由许崇敬按山东经济学院本科论文要求整理</dc:description>
  <cp:lastModifiedBy>奔跑</cp:lastModifiedBy>
  <cp:lastPrinted>2021-12-09T08:42:00Z</cp:lastPrinted>
  <dcterms:modified xsi:type="dcterms:W3CDTF">2023-08-28T03:05:43Z</dcterms:modified>
  <dc:subject>学士论文例文</dc:subject>
  <dc:title>山东经济学院学士学位论文示例</dc:title>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438A7428DA97446B9063582BA29C72E1_12</vt:lpwstr>
  </property>
</Properties>
</file>