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900"/>
              <w:left w:type="dxa" w:w="520"/>
              <w:bottom w:type="dxa" w:w="700"/>
              <w:right w:type="dxa" w:w="520"/>
            </w:tcMar>
          </w:tcPr>
          <w:p>
            <w:pPr>
              <w:spacing w:after="40"/>
            </w:pPr>
            <w:r>
              <w:rPr>
                <w:rFonts w:ascii="Arial" w:cs="Arial" w:eastAsia="Arial" w:hAnsi="Arial"/>
                <w:b/>
                <w:bCs/>
                <w:color w:val="C8E0E8"/>
                <w:sz w:val="18"/>
                <w:szCs w:val="18"/>
              </w:rPr>
              <w:t xml:space="preserve">FUTURE-STATE WHITE PAPER  |  2025</w:t>
            </w:r>
          </w:p>
          <w:p>
            <w:pPr>
              <w:spacing w:after="80"/>
            </w:pPr>
            <w:r>
              <w:rPr>
                <w:rFonts w:ascii="Arial" w:cs="Arial" w:eastAsia="Arial" w:hAnsi="Arial"/>
                <w:b/>
                <w:bCs/>
                <w:color w:val="FFFFFF"/>
                <w:sz w:val="68"/>
                <w:szCs w:val="68"/>
              </w:rPr>
              <w:t xml:space="preserve">The Future Focus Areas</w:t>
            </w:r>
          </w:p>
          <w:p>
            <w:pPr>
              <w:spacing w:after="80"/>
            </w:pPr>
            <w:r>
              <w:rPr>
                <w:rFonts w:ascii="Arial" w:cs="Arial" w:eastAsia="Arial" w:hAnsi="Arial"/>
                <w:b/>
                <w:bCs/>
                <w:color w:val="7EC8D4"/>
                <w:sz w:val="68"/>
                <w:szCs w:val="68"/>
              </w:rPr>
              <w:t xml:space="preserve">of Learning Teams</w:t>
            </w:r>
          </w:p>
          <w:p>
            <w:pPr>
              <w:spacing w:after="340"/>
            </w:pPr>
            <w:r>
              <w:rPr>
                <w:rFonts w:ascii="Arial" w:cs="Arial" w:eastAsia="Arial" w:hAnsi="Arial"/>
                <w:color w:val="C8E0E8"/>
                <w:sz w:val="26"/>
                <w:szCs w:val="26"/>
              </w:rPr>
              <w:t xml:space="preserve">From delivery functions to intelligence-led learning organisations</w:t>
            </w:r>
          </w:p>
          <w:p>
            <w:pPr>
              <w:spacing w:after="80"/>
            </w:pPr>
            <w:r>
              <w:rPr>
                <w:rFonts w:ascii="Arial" w:cs="Arial" w:eastAsia="Arial" w:hAnsi="Arial"/>
                <w:color w:val="C8E0E8"/>
                <w:sz w:val="22"/>
                <w:szCs w:val="22"/>
              </w:rPr>
              <w:t xml:space="preserve">Why the five focus areas of L&amp;D today will not be the five focus areas of L&amp;D in 2027 — and what replaces them</w:t>
            </w:r>
          </w:p>
          <w:p>
            <w:pPr>
              <w:spacing w:after="0"/>
            </w:pPr>
            <w:r>
              <w:rPr>
                <w:rFonts w:ascii="Arial" w:cs="Arial" w:eastAsia="Arial" w:hAnsi="Arial"/>
                <w:i/>
                <w:iCs/>
                <w:color w:val="7EC8D4"/>
                <w:sz w:val="20"/>
                <w:szCs w:val="20"/>
              </w:rPr>
              <w:t xml:space="preserve">A strategic framework for L&amp;D leaders in professional services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0D7A6E" w:val="clear"/>
            <w:tcMar>
              <w:top w:type="dxa" w:w="200"/>
              <w:left w:type="dxa" w:w="280"/>
              <w:bottom w:type="dxa" w:w="200"/>
              <w:right w:type="dxa" w:w="200"/>
            </w:tcMar>
          </w:tcPr>
          <w:p>
            <w:pPr>
              <w:spacing w:after="30"/>
            </w:pPr>
            <w:r>
              <w:rPr>
                <w:rFonts w:ascii="Arial" w:cs="Arial" w:eastAsia="Arial" w:hAnsi="Arial"/>
                <w:b/>
                <w:bCs/>
                <w:color w:val="C8E0E8"/>
                <w:sz w:val="15"/>
                <w:szCs w:val="15"/>
              </w:rPr>
              <w:t xml:space="preserve">CLASSIFICATION</w:t>
            </w:r>
          </w:p>
          <w:p>
            <w:pPr>
              <w:spacing w:after="0"/>
            </w:pPr>
            <w:r>
              <w:rPr>
                <w:rFonts w:ascii="Arial" w:cs="Arial" w:eastAsia="Arial" w:hAnsi="Arial"/>
                <w:color w:val="FFFFFF"/>
                <w:sz w:val="20"/>
                <w:szCs w:val="20"/>
              </w:rPr>
              <w:t xml:space="preserve">Confidential — Internal Strategy</w:t>
            </w:r>
          </w:p>
        </w:tc>
        <w:tc>
          <w:tcPr>
            <w:tcW w:type="dxa" w:w="4680"/>
            <w:tcBorders>
              <w:top w:val="none"/>
              <w:left w:val="none"/>
              <w:bottom w:val="none"/>
              <w:right w:val="none"/>
            </w:tcBorders>
            <w:shd w:fill="4A5568" w:val="clear"/>
            <w:tcMar>
              <w:top w:type="dxa" w:w="200"/>
              <w:left w:type="dxa" w:w="280"/>
              <w:bottom w:type="dxa" w:w="200"/>
              <w:right w:type="dxa" w:w="200"/>
            </w:tcMar>
          </w:tcPr>
          <w:p>
            <w:pPr>
              <w:spacing w:after="30"/>
            </w:pPr>
            <w:r>
              <w:rPr>
                <w:rFonts w:ascii="Arial" w:cs="Arial" w:eastAsia="Arial" w:hAnsi="Arial"/>
                <w:b/>
                <w:bCs/>
                <w:color w:val="C8E0E8"/>
                <w:sz w:val="15"/>
                <w:szCs w:val="15"/>
              </w:rPr>
              <w:t xml:space="preserve">VERSION</w:t>
            </w:r>
          </w:p>
          <w:p>
            <w:pPr>
              <w:spacing w:after="0"/>
            </w:pPr>
            <w:r>
              <w:rPr>
                <w:rFonts w:ascii="Arial" w:cs="Arial" w:eastAsia="Arial" w:hAnsi="Arial"/>
                <w:color w:val="FFFFFF"/>
                <w:sz w:val="20"/>
                <w:szCs w:val="20"/>
              </w:rPr>
              <w:t xml:space="preserve">v1.0  |  2025</w:t>
            </w:r>
          </w:p>
        </w:tc>
      </w:tr>
    </w:tbl>
    <w:p>
      <w:r>
        <w:br w:type="page"/>
      </w:r>
    </w:p>
    <w:p>
      <w:pPr>
        <w:pStyle w:val="Heading1"/>
        <w:spacing w:after="120" w:before="360"/>
      </w:pPr>
      <w:r>
        <w:rPr>
          <w:rFonts w:ascii="Arial" w:cs="Arial" w:eastAsia="Arial" w:hAnsi="Arial"/>
          <w:b/>
          <w:bCs/>
          <w:color w:val="1B3A5C"/>
          <w:sz w:val="34"/>
          <w:szCs w:val="34"/>
        </w:rPr>
        <w:t xml:space="preserve">Executive Summary</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five focus areas that organise Learning &amp; Development work today — Operations, Strategy, Content, Platforms &amp; Analytics, and Facilitation — were designed for a world where the primary challenge was delivering learning efficiently. That world is ending. Not suddenly, but structurally and irreversibly.</w:t>
      </w:r>
    </w:p>
    <w:p>
      <w:pPr>
        <w:spacing w:after="120" w:before="0"/>
      </w:pPr>
      <w:r>
        <w:rPr>
          <w:rFonts w:ascii="Arial" w:cs="Arial" w:eastAsia="Arial" w:hAnsi="Arial"/>
          <w:i w:val="false"/>
          <w:iCs w:val="false"/>
          <w:color w:val="2D3748"/>
          <w:sz w:val="22"/>
          <w:szCs w:val="22"/>
        </w:rPr>
        <w:t xml:space="preserve">Artificial intelligence is not simply automating tasks within these focus areas. It is dissolving the boundaries between them, eliminating the rationale for some of them entirely, and creating entirely new categories of work that do not yet have names in most L&amp;D team structures.</w:t>
      </w:r>
    </w:p>
    <w:p>
      <w:pPr>
        <w:spacing w:after="120" w:before="0"/>
      </w:pPr>
      <w:r>
        <w:rPr>
          <w:rFonts w:ascii="Arial" w:cs="Arial" w:eastAsia="Arial" w:hAnsi="Arial"/>
          <w:i w:val="false"/>
          <w:iCs w:val="false"/>
          <w:color w:val="2D3748"/>
          <w:sz w:val="22"/>
          <w:szCs w:val="22"/>
        </w:rPr>
        <w:t xml:space="preserve">This white paper argues that by 2027, the five current focus areas will have reorganised into six fundamentally different ones — and that L&amp;D leaders who wait to see this happen before adapting their hiring and team design will find themselves structurally behind.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The Core Argument</w:t>
            </w:r>
          </w:p>
          <w:p>
            <w:pPr>
              <w:spacing w:after="0" w:before="0"/>
            </w:pPr>
            <w:r>
              <w:rPr>
                <w:rFonts w:ascii="Arial" w:cs="Arial" w:eastAsia="Arial" w:hAnsi="Arial"/>
                <w:color w:val="2D3748"/>
                <w:sz w:val="21"/>
                <w:szCs w:val="21"/>
              </w:rPr>
              <w:t xml:space="preserve">The problem with today's focus areas is not that they are wrong — it is that they describe how L&amp;D delivers learning. The future focus areas need to describe how L&amp;D creates value. Those are different questions, and they require different capabilities, different career paths, and different hiring profiles.</w:t>
            </w:r>
          </w:p>
        </w:tc>
      </w:tr>
    </w:tbl>
    <w:p>
      <w:pPr>
        <w:spacing w:after="120" w:before="0"/>
      </w:pPr>
      <w:r>
        <w:t xml:space="preserve"/>
      </w:r>
    </w:p>
    <w:p>
      <w:pPr>
        <w:spacing w:after="120" w:before="0"/>
      </w:pPr>
      <w:r>
        <w:rPr>
          <w:rFonts w:ascii="Arial" w:cs="Arial" w:eastAsia="Arial" w:hAnsi="Arial"/>
          <w:i w:val="false"/>
          <w:iCs w:val="false"/>
          <w:color w:val="2D3748"/>
          <w:sz w:val="22"/>
          <w:szCs w:val="22"/>
        </w:rPr>
        <w:t xml:space="preserve">The six future focus areas proposed in this white paper are:</w:t>
      </w:r>
    </w:p>
    <w:p>
      <w:pPr>
        <w:pStyle w:val="ListParagraph"/>
        <w:numPr>
          <w:ilvl w:val="0"/>
          <w:numId w:val="2"/>
        </w:numPr>
        <w:spacing w:after="70" w:before="30"/>
      </w:pPr>
      <w:r>
        <w:rPr>
          <w:rFonts w:ascii="Arial" w:cs="Arial" w:eastAsia="Arial" w:hAnsi="Arial"/>
          <w:color w:val="2D3748"/>
          <w:sz w:val="22"/>
          <w:szCs w:val="22"/>
        </w:rPr>
        <w:t xml:space="preserve">Learning Intelligence — sensing needs before they are articulated, using AI signals and skills data</w:t>
      </w:r>
    </w:p>
    <w:p>
      <w:pPr>
        <w:pStyle w:val="ListParagraph"/>
        <w:numPr>
          <w:ilvl w:val="0"/>
          <w:numId w:val="2"/>
        </w:numPr>
        <w:spacing w:after="70" w:before="30"/>
      </w:pPr>
      <w:r>
        <w:rPr>
          <w:rFonts w:ascii="Arial" w:cs="Arial" w:eastAsia="Arial" w:hAnsi="Arial"/>
          <w:color w:val="2D3748"/>
          <w:sz w:val="22"/>
          <w:szCs w:val="22"/>
        </w:rPr>
        <w:t xml:space="preserve">Business Partnership — translating business priorities into capability investment decisions</w:t>
      </w:r>
    </w:p>
    <w:p>
      <w:pPr>
        <w:pStyle w:val="ListParagraph"/>
        <w:numPr>
          <w:ilvl w:val="0"/>
          <w:numId w:val="2"/>
        </w:numPr>
        <w:spacing w:after="70" w:before="30"/>
      </w:pPr>
      <w:r>
        <w:rPr>
          <w:rFonts w:ascii="Arial" w:cs="Arial" w:eastAsia="Arial" w:hAnsi="Arial"/>
          <w:color w:val="2D3748"/>
          <w:sz w:val="22"/>
          <w:szCs w:val="22"/>
        </w:rPr>
        <w:t xml:space="preserve">Learning Experience Design — architecting how people actually learn, not just what they are taught</w:t>
      </w:r>
    </w:p>
    <w:p>
      <w:pPr>
        <w:pStyle w:val="ListParagraph"/>
        <w:numPr>
          <w:ilvl w:val="0"/>
          <w:numId w:val="2"/>
        </w:numPr>
        <w:spacing w:after="70" w:before="30"/>
      </w:pPr>
      <w:r>
        <w:rPr>
          <w:rFonts w:ascii="Arial" w:cs="Arial" w:eastAsia="Arial" w:hAnsi="Arial"/>
          <w:color w:val="2D3748"/>
          <w:sz w:val="22"/>
          <w:szCs w:val="22"/>
        </w:rPr>
        <w:t xml:space="preserve">AI &amp; Technology Orchestration — governing how AI and learning technology is deployed and quality-checked</w:t>
      </w:r>
    </w:p>
    <w:p>
      <w:pPr>
        <w:pStyle w:val="ListParagraph"/>
        <w:numPr>
          <w:ilvl w:val="0"/>
          <w:numId w:val="2"/>
        </w:numPr>
        <w:spacing w:after="70" w:before="30"/>
      </w:pPr>
      <w:r>
        <w:rPr>
          <w:rFonts w:ascii="Arial" w:cs="Arial" w:eastAsia="Arial" w:hAnsi="Arial"/>
          <w:color w:val="2D3748"/>
          <w:sz w:val="22"/>
          <w:szCs w:val="22"/>
        </w:rPr>
        <w:t xml:space="preserve">Learning Impact &amp; Data — measuring whether learning changes behaviour and business performance</w:t>
      </w:r>
    </w:p>
    <w:p>
      <w:pPr>
        <w:pStyle w:val="ListParagraph"/>
        <w:numPr>
          <w:ilvl w:val="0"/>
          <w:numId w:val="2"/>
        </w:numPr>
        <w:spacing w:after="70" w:before="30"/>
      </w:pPr>
      <w:r>
        <w:rPr>
          <w:rFonts w:ascii="Arial" w:cs="Arial" w:eastAsia="Arial" w:hAnsi="Arial"/>
          <w:color w:val="2D3748"/>
          <w:sz w:val="22"/>
          <w:szCs w:val="22"/>
        </w:rPr>
        <w:t xml:space="preserve">Human-Centred Facilitation — the irreducibly human work of building capability through relationships</w:t>
      </w:r>
    </w:p>
    <w:p>
      <w:pPr>
        <w:spacing w:after="80" w:before="0"/>
      </w:pPr>
      <w:r>
        <w:t xml:space="preserve"/>
      </w:r>
    </w:p>
    <w:p>
      <w:pPr>
        <w:spacing w:after="120" w:before="0"/>
      </w:pPr>
      <w:r>
        <w:rPr>
          <w:rFonts w:ascii="Arial" w:cs="Arial" w:eastAsia="Arial" w:hAnsi="Arial"/>
          <w:i w:val="false"/>
          <w:iCs w:val="false"/>
          <w:color w:val="2D3748"/>
          <w:sz w:val="22"/>
          <w:szCs w:val="22"/>
        </w:rPr>
        <w:t xml:space="preserve">Each of these is grounded in a specific set of activities that will grow, a specific set of activities that will shrink, and a clear rationale for why this focus area will matter more — not less — in a technology-rich L&amp;D environment.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20"/>
              <w:left w:type="dxa" w:w="320"/>
              <w:bottom w:type="dxa" w:w="220"/>
              <w:right w:type="dxa" w:w="320"/>
            </w:tcMar>
          </w:tcPr>
          <w:p>
            <w:r>
              <w:rPr>
                <w:rFonts w:ascii="Arial" w:cs="Arial" w:eastAsia="Arial" w:hAnsi="Arial"/>
                <w:b/>
                <w:bCs/>
                <w:color w:val="FFFFFF"/>
                <w:sz w:val="22"/>
                <w:szCs w:val="22"/>
              </w:rPr>
              <w:t xml:space="preserve">PART ONE  |  WHY TODAY'S FOCUS AREAS ARE ALREADY OBSOLETE</w:t>
            </w:r>
          </w:p>
        </w:tc>
      </w:tr>
    </w:tbl>
    <w:p>
      <w:pPr>
        <w:spacing w:after="80" w:before="0"/>
      </w:pPr>
      <w:r>
        <w:t xml:space="preserve"/>
      </w:r>
    </w:p>
    <w:p>
      <w:pPr>
        <w:pStyle w:val="Heading1"/>
        <w:spacing w:after="120" w:before="360"/>
      </w:pPr>
      <w:r>
        <w:rPr>
          <w:rFonts w:ascii="Arial" w:cs="Arial" w:eastAsia="Arial" w:hAnsi="Arial"/>
          <w:b/>
          <w:bCs/>
          <w:color w:val="1B3A5C"/>
          <w:sz w:val="34"/>
          <w:szCs w:val="34"/>
        </w:rPr>
        <w:t xml:space="preserve">Why Today's Focus Areas Are Already Becoming Obsolete</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current five focus areas in most enterprise L&amp;D teams were not consciously designed — they evolved from how learning functions historically organised work. Each one maps to a delivery problem, not a value creation problem.</w:t>
      </w:r>
    </w:p>
    <w:p>
      <w:pPr>
        <w:pStyle w:val="Heading2"/>
        <w:spacing w:after="100" w:before="260"/>
      </w:pPr>
      <w:r>
        <w:rPr>
          <w:rFonts w:ascii="Arial" w:cs="Arial" w:eastAsia="Arial" w:hAnsi="Arial"/>
          <w:b/>
          <w:bCs/>
          <w:color w:val="0D7A6E"/>
          <w:sz w:val="26"/>
          <w:szCs w:val="26"/>
        </w:rPr>
        <w:t xml:space="preserve">1.1  What Today's Focus Areas Were Built For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Focus Area</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What Problem It Was Built To Solve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Operations</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Managing the mechanics of programme delivery — scheduling, LMS admin, logistics, and participant coordination. Built for an era when these tasks required significant human effort.</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Strategy</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Defining what learning to run, for whom, and with what budget. Built for an era when strategy meant annual planning cycles and business partner conversations.</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Content</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Developing and curating learning materials. Built for an era when content creation was slow, expensive, and required specialist expertise.</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Platforms &amp; Analytics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Managing learning technology and reporting on completion metrics. Built for an era when platforms were complex, data was hard to extract, and dashboards were a differentiator.</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Facilitation</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Delivering learning through instructors and facilitators. Built for an era when classroom and virtual delivery required extensive human coordination.</w:t>
            </w:r>
          </w:p>
        </w:tc>
      </w:tr>
    </w:tbl>
    <w:p>
      <w:pPr>
        <w:spacing w:after="120" w:before="0"/>
      </w:pPr>
      <w:r>
        <w:t xml:space="preserve"/>
      </w:r>
    </w:p>
    <w:p>
      <w:pPr>
        <w:pStyle w:val="Heading2"/>
        <w:spacing w:after="100" w:before="260"/>
      </w:pPr>
      <w:r>
        <w:rPr>
          <w:rFonts w:ascii="Arial" w:cs="Arial" w:eastAsia="Arial" w:hAnsi="Arial"/>
          <w:b/>
          <w:bCs/>
          <w:color w:val="0D7A6E"/>
          <w:sz w:val="26"/>
          <w:szCs w:val="26"/>
        </w:rPr>
        <w:t xml:space="preserve">1.2  What AI Does to Each of These</w:t>
      </w:r>
    </w:p>
    <w:p>
      <w:pPr>
        <w:spacing w:after="120" w:before="0"/>
      </w:pPr>
      <w:r>
        <w:rPr>
          <w:rFonts w:ascii="Arial" w:cs="Arial" w:eastAsia="Arial" w:hAnsi="Arial"/>
          <w:i w:val="false"/>
          <w:iCs w:val="false"/>
          <w:color w:val="2D3748"/>
          <w:sz w:val="22"/>
          <w:szCs w:val="22"/>
        </w:rPr>
        <w:t xml:space="preserve">The critical insight is not that AI makes these areas obsolete — it is that AI changes the ratio of human to automated work within each area so dramatically that the area itself loses meaning as a career focus.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Focus Area</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What AI Does to the Human Role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Operations</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80–90% of operational tasks — scheduling, reminders, LMS entries, venue coordination, attendance updates, VILT production — are automatable within 2 years. The residual human role is exception handling, not operational management. 'Operations' ceases to be a meaningful career focus.</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Strategy</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Strategy splits into two very different capabilities: reading AI-generated signals to identify needs (data-literacy intensive), and influencing business leaders to invest in learning (relationship and judgment intensive). Blending these in one 'Strategy' focus area produces mediocre capability in both.</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Content</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Content generation is now table stakes for AI. The human value shifts entirely to content judgment — what should exist, what should be retired, whether what AI produces is accurate, appropriate, and genuinely useful. 'Content' as a focus area needs to bifurcate into strategy/curation and experience design.</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Platforms &amp; Analytics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Platform management becomes largely automated and vendor-managed. But analytics evolves dramatically — from reporting on what happened to answering whether it mattered. These are different skills, different mindsets, and different career paths. Grouping them together produces neither.</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Facilitation</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High-volume facilitation support — VILT production, rostering, readiness logistics — is automated. What remains is the irreducibly human work: complex conversations, coaching, psychological safety, building facilitator capability. Volume falls sharply. Quality expectations rise sharply.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The Structural Problem</w:t>
            </w:r>
          </w:p>
          <w:p>
            <w:pPr>
              <w:spacing w:after="0" w:before="0"/>
            </w:pPr>
            <w:r>
              <w:rPr>
                <w:rFonts w:ascii="Arial" w:cs="Arial" w:eastAsia="Arial" w:hAnsi="Arial"/>
                <w:color w:val="2D3748"/>
                <w:sz w:val="21"/>
                <w:szCs w:val="21"/>
              </w:rPr>
              <w:t xml:space="preserve">The issue is not that any single focus area disappears overnight. It is that each one is being hollowed out from the inside — automated in its routine core — while its edges grow more complex and more valuable. L&amp;D teams that continue to hire for the whole area will end up with people who are too generalist for the emerging high-value work and too senior for the automated 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A6E" w:val="clear"/>
            <w:tcMar>
              <w:top w:type="dxa" w:w="220"/>
              <w:left w:type="dxa" w:w="320"/>
              <w:bottom w:type="dxa" w:w="220"/>
              <w:right w:type="dxa" w:w="320"/>
            </w:tcMar>
          </w:tcPr>
          <w:p>
            <w:r>
              <w:rPr>
                <w:rFonts w:ascii="Arial" w:cs="Arial" w:eastAsia="Arial" w:hAnsi="Arial"/>
                <w:b/>
                <w:bCs/>
                <w:color w:val="FFFFFF"/>
                <w:sz w:val="22"/>
                <w:szCs w:val="22"/>
              </w:rPr>
              <w:t xml:space="preserve">PART TWO  |  THE SIX FUTURE FOCUS AREAS</w:t>
            </w:r>
          </w:p>
        </w:tc>
      </w:tr>
    </w:tbl>
    <w:p>
      <w:pPr>
        <w:spacing w:after="80" w:before="0"/>
      </w:pPr>
      <w:r>
        <w:t xml:space="preserve"/>
      </w:r>
    </w:p>
    <w:p>
      <w:pPr>
        <w:pStyle w:val="Heading1"/>
        <w:spacing w:after="120" w:before="360"/>
      </w:pPr>
      <w:r>
        <w:rPr>
          <w:rFonts w:ascii="Arial" w:cs="Arial" w:eastAsia="Arial" w:hAnsi="Arial"/>
          <w:b/>
          <w:bCs/>
          <w:color w:val="1B3A5C"/>
          <w:sz w:val="34"/>
          <w:szCs w:val="34"/>
        </w:rPr>
        <w:t xml:space="preserve">The Six Future Focus Areas of Learning Teams</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following six focus areas are not predictions — they are a framework. Each one represents a coherent cluster of human judgment and capability that will be more valuable in 2027 than it is today, regardless of which specific AI tools are available at that point.</w:t>
      </w:r>
    </w:p>
    <w:p>
      <w:pPr>
        <w:spacing w:after="120" w:before="0"/>
      </w:pPr>
      <w:r>
        <w:rPr>
          <w:rFonts w:ascii="Arial" w:cs="Arial" w:eastAsia="Arial" w:hAnsi="Arial"/>
          <w:i w:val="false"/>
          <w:iCs w:val="false"/>
          <w:color w:val="2D3748"/>
          <w:sz w:val="22"/>
          <w:szCs w:val="22"/>
        </w:rPr>
        <w:t xml:space="preserve">They are presented with a definition, the activities they absorb from today's structure, the skills they require, and where they sit in the band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1B3A5C" w:sz="24"/>
              <w:bottom w:val="single" w:color="C8E0E8" w:sz="1"/>
              <w:right w:val="single" w:color="C8E0E8" w:sz="1"/>
            </w:tcBorders>
            <w:shd w:fill="EBF4F7" w:val="clear"/>
            <w:tcMar>
              <w:top w:type="dxa" w:w="160"/>
              <w:left w:type="dxa" w:w="240"/>
              <w:bottom w:type="dxa" w:w="160"/>
              <w:right w:type="dxa" w:w="200"/>
            </w:tcMar>
          </w:tcPr>
          <w:p>
            <w:pPr>
              <w:spacing w:after="60"/>
            </w:pPr>
            <w:r>
              <w:rPr>
                <w:rFonts w:ascii="Arial" w:cs="Arial" w:eastAsia="Arial" w:hAnsi="Arial"/>
                <w:b/>
                <w:bCs/>
                <w:color w:val="1B3A5C"/>
                <w:sz w:val="26"/>
                <w:szCs w:val="26"/>
              </w:rPr>
              <w:t xml:space="preserve">Focus Area 1  —  Learning Intelligence</w:t>
            </w:r>
          </w:p>
          <w:p>
            <w:pPr>
              <w:spacing w:after="0"/>
            </w:pPr>
            <w:r>
              <w:rPr>
                <w:rFonts w:ascii="Arial" w:cs="Arial" w:eastAsia="Arial" w:hAnsi="Arial"/>
                <w:color w:val="2D3748"/>
                <w:sz w:val="22"/>
                <w:szCs w:val="22"/>
              </w:rPr>
              <w:t xml:space="preserve">Sensing capability needs before they are articulated, using AI-generated signals, skills data, workforce analytics, and business intelligence to tell the learning function where to invest before the business asks.</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Business needs assessment and training needs analysis (from Strategy)</w:t>
      </w:r>
    </w:p>
    <w:p>
      <w:pPr>
        <w:pStyle w:val="ListParagraph"/>
        <w:numPr>
          <w:ilvl w:val="0"/>
          <w:numId w:val="2"/>
        </w:numPr>
        <w:spacing w:after="70" w:before="30"/>
      </w:pPr>
      <w:r>
        <w:rPr>
          <w:rFonts w:ascii="Arial" w:cs="Arial" w:eastAsia="Arial" w:hAnsi="Arial"/>
          <w:color w:val="2D3748"/>
          <w:sz w:val="22"/>
          <w:szCs w:val="22"/>
        </w:rPr>
        <w:t xml:space="preserve">Learner insights, benchmarking, and market intelligence (from Strategy)</w:t>
      </w:r>
    </w:p>
    <w:p>
      <w:pPr>
        <w:pStyle w:val="ListParagraph"/>
        <w:numPr>
          <w:ilvl w:val="0"/>
          <w:numId w:val="2"/>
        </w:numPr>
        <w:spacing w:after="70" w:before="30"/>
      </w:pPr>
      <w:r>
        <w:rPr>
          <w:rFonts w:ascii="Arial" w:cs="Arial" w:eastAsia="Arial" w:hAnsi="Arial"/>
          <w:color w:val="2D3748"/>
          <w:sz w:val="22"/>
          <w:szCs w:val="22"/>
        </w:rPr>
        <w:t xml:space="preserve">Learning data reconciliation and interpretation (from Platforms &amp; Analytics)</w:t>
      </w:r>
    </w:p>
    <w:p>
      <w:pPr>
        <w:pStyle w:val="ListParagraph"/>
        <w:numPr>
          <w:ilvl w:val="0"/>
          <w:numId w:val="2"/>
        </w:numPr>
        <w:spacing w:after="70" w:before="30"/>
      </w:pPr>
      <w:r>
        <w:rPr>
          <w:rFonts w:ascii="Arial" w:cs="Arial" w:eastAsia="Arial" w:hAnsi="Arial"/>
          <w:color w:val="2D3748"/>
          <w:sz w:val="22"/>
          <w:szCs w:val="22"/>
        </w:rPr>
        <w:t xml:space="preserve">New: AI signal interpretation — reading patterns from workforce, performance, and business data to identify emerging skill gaps</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Today, needs analysis is a periodic, manual exercise — annual TNA surveys, partner conversations, calendar planning. In the future, AI tools will continuously surface signals: which skills are declining in the market, which competencies are being tested by client engagements, where performance gaps correlate with learning gaps. A Learning Intelligence specialist interprets these signals and translates them into strategic priorities. This is not the same skill as running a TNA survey, and it is not the same as writing a learning strategy document.</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Data literacy: ability to read, interrogate, and draw conclusions from complex datasets</w:t>
      </w:r>
    </w:p>
    <w:p>
      <w:pPr>
        <w:pStyle w:val="ListParagraph"/>
        <w:numPr>
          <w:ilvl w:val="0"/>
          <w:numId w:val="2"/>
        </w:numPr>
        <w:spacing w:after="70" w:before="30"/>
      </w:pPr>
      <w:r>
        <w:rPr>
          <w:rFonts w:ascii="Arial" w:cs="Arial" w:eastAsia="Arial" w:hAnsi="Arial"/>
          <w:color w:val="2D3748"/>
          <w:sz w:val="22"/>
          <w:szCs w:val="22"/>
        </w:rPr>
        <w:t xml:space="preserve">Skills taxonomy understanding: knowing how competencies relate to each other and to business outcomes</w:t>
      </w:r>
    </w:p>
    <w:p>
      <w:pPr>
        <w:pStyle w:val="ListParagraph"/>
        <w:numPr>
          <w:ilvl w:val="0"/>
          <w:numId w:val="2"/>
        </w:numPr>
        <w:spacing w:after="70" w:before="30"/>
      </w:pPr>
      <w:r>
        <w:rPr>
          <w:rFonts w:ascii="Arial" w:cs="Arial" w:eastAsia="Arial" w:hAnsi="Arial"/>
          <w:color w:val="2D3748"/>
          <w:sz w:val="22"/>
          <w:szCs w:val="22"/>
        </w:rPr>
        <w:t xml:space="preserve">AI tool fluency: working with AI-generated insights critically, not just consuming outputs</w:t>
      </w:r>
    </w:p>
    <w:p>
      <w:pPr>
        <w:pStyle w:val="ListParagraph"/>
        <w:numPr>
          <w:ilvl w:val="0"/>
          <w:numId w:val="2"/>
        </w:numPr>
        <w:spacing w:after="70" w:before="30"/>
      </w:pPr>
      <w:r>
        <w:rPr>
          <w:rFonts w:ascii="Arial" w:cs="Arial" w:eastAsia="Arial" w:hAnsi="Arial"/>
          <w:color w:val="2D3748"/>
          <w:sz w:val="22"/>
          <w:szCs w:val="22"/>
        </w:rPr>
        <w:t xml:space="preserve">Stakeholder influence: translating intelligence into recommendations that business leaders act on</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Primarily Band 2–3. This is not an operational role — it requires judgment, business context, and the ability to work with ambiguous signals. It is the most analytically demanding focus area in the future structure.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1F5EE" w:val="clear"/>
            <w:tcMar>
              <w:top w:type="dxa" w:w="160"/>
              <w:left w:type="dxa" w:w="240"/>
              <w:bottom w:type="dxa" w:w="160"/>
              <w:right w:type="dxa" w:w="200"/>
            </w:tcMar>
          </w:tcPr>
          <w:p>
            <w:pPr>
              <w:spacing w:after="60"/>
            </w:pPr>
            <w:r>
              <w:rPr>
                <w:rFonts w:ascii="Arial" w:cs="Arial" w:eastAsia="Arial" w:hAnsi="Arial"/>
                <w:b/>
                <w:bCs/>
                <w:color w:val="085041"/>
                <w:sz w:val="26"/>
                <w:szCs w:val="26"/>
              </w:rPr>
              <w:t xml:space="preserve">Focus Area 2  —  Business Partnership</w:t>
            </w:r>
          </w:p>
          <w:p>
            <w:pPr>
              <w:spacing w:after="0"/>
            </w:pPr>
            <w:r>
              <w:rPr>
                <w:rFonts w:ascii="Arial" w:cs="Arial" w:eastAsia="Arial" w:hAnsi="Arial"/>
                <w:color w:val="2D3748"/>
                <w:sz w:val="22"/>
                <w:szCs w:val="22"/>
              </w:rPr>
              <w:t xml:space="preserve">Sitting inside the business to translate capability priorities into learning investment decisions — acting as a strategic advisor, not a service provider.</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Stakeholder engagement and business partnership calls (from Strategy)</w:t>
      </w:r>
    </w:p>
    <w:p>
      <w:pPr>
        <w:pStyle w:val="ListParagraph"/>
        <w:numPr>
          <w:ilvl w:val="0"/>
          <w:numId w:val="2"/>
        </w:numPr>
        <w:spacing w:after="70" w:before="30"/>
      </w:pPr>
      <w:r>
        <w:rPr>
          <w:rFonts w:ascii="Arial" w:cs="Arial" w:eastAsia="Arial" w:hAnsi="Arial"/>
          <w:color w:val="2D3748"/>
          <w:sz w:val="22"/>
          <w:szCs w:val="22"/>
        </w:rPr>
        <w:t xml:space="preserve">Annual planning, budget approval, and learning priorities (from Strategy)</w:t>
      </w:r>
    </w:p>
    <w:p>
      <w:pPr>
        <w:pStyle w:val="ListParagraph"/>
        <w:numPr>
          <w:ilvl w:val="0"/>
          <w:numId w:val="2"/>
        </w:numPr>
        <w:spacing w:after="70" w:before="30"/>
      </w:pPr>
      <w:r>
        <w:rPr>
          <w:rFonts w:ascii="Arial" w:cs="Arial" w:eastAsia="Arial" w:hAnsi="Arial"/>
          <w:color w:val="2D3748"/>
          <w:sz w:val="22"/>
          <w:szCs w:val="22"/>
        </w:rPr>
        <w:t xml:space="preserve">New: AI-era capability advisory — helping leaders understand what skills their teams need to work effectively with AI tools</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Today, 'strategy' blends business partnership with analytical and planning work. The two are handled by the same person because both were relatively manual and low-frequency. In the future, the analytical work migrates to the Learning Intelligence focus area, and what remains is the high-judgment, high-relationship work of advising business leaders. This person's value is not their knowledge of L&amp;D — it is their credibility with business leaders and their ability to influence capability investment decisions. That is a very specific profile that gets diluted when blended with analytical or operational responsibilities.</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Business acumen: deep understanding of how the service line generates value and where capability creates risk or opportunity</w:t>
      </w:r>
    </w:p>
    <w:p>
      <w:pPr>
        <w:pStyle w:val="ListParagraph"/>
        <w:numPr>
          <w:ilvl w:val="0"/>
          <w:numId w:val="2"/>
        </w:numPr>
        <w:spacing w:after="70" w:before="30"/>
      </w:pPr>
      <w:r>
        <w:rPr>
          <w:rFonts w:ascii="Arial" w:cs="Arial" w:eastAsia="Arial" w:hAnsi="Arial"/>
          <w:color w:val="2D3748"/>
          <w:sz w:val="22"/>
          <w:szCs w:val="22"/>
        </w:rPr>
        <w:t xml:space="preserve">Executive presence and influence: ability to challenge, reframe, and commit to business leaders</w:t>
      </w:r>
    </w:p>
    <w:p>
      <w:pPr>
        <w:pStyle w:val="ListParagraph"/>
        <w:numPr>
          <w:ilvl w:val="0"/>
          <w:numId w:val="2"/>
        </w:numPr>
        <w:spacing w:after="70" w:before="30"/>
      </w:pPr>
      <w:r>
        <w:rPr>
          <w:rFonts w:ascii="Arial" w:cs="Arial" w:eastAsia="Arial" w:hAnsi="Arial"/>
          <w:color w:val="2D3748"/>
          <w:sz w:val="22"/>
          <w:szCs w:val="22"/>
        </w:rPr>
        <w:t xml:space="preserve">Learning ROI framing: articulating learning investment in business outcome language</w:t>
      </w:r>
    </w:p>
    <w:p>
      <w:pPr>
        <w:pStyle w:val="ListParagraph"/>
        <w:numPr>
          <w:ilvl w:val="0"/>
          <w:numId w:val="2"/>
        </w:numPr>
        <w:spacing w:after="70" w:before="30"/>
      </w:pPr>
      <w:r>
        <w:rPr>
          <w:rFonts w:ascii="Arial" w:cs="Arial" w:eastAsia="Arial" w:hAnsi="Arial"/>
          <w:color w:val="2D3748"/>
          <w:sz w:val="22"/>
          <w:szCs w:val="22"/>
        </w:rPr>
        <w:t xml:space="preserve">Change facilitation: helping teams navigate AI-driven changes in how work is done</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Primarily Band 2, with Band 3 supporting. This is a senior-facing role. The business partner equivalent of a learning professional. Not appropriate at Band 4 and below.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854F0B" w:sz="24"/>
              <w:bottom w:val="single" w:color="C8E0E8" w:sz="1"/>
              <w:right w:val="single" w:color="C8E0E8" w:sz="1"/>
            </w:tcBorders>
            <w:shd w:fill="FEF3C7" w:val="clear"/>
            <w:tcMar>
              <w:top w:type="dxa" w:w="160"/>
              <w:left w:type="dxa" w:w="240"/>
              <w:bottom w:type="dxa" w:w="160"/>
              <w:right w:type="dxa" w:w="200"/>
            </w:tcMar>
          </w:tcPr>
          <w:p>
            <w:pPr>
              <w:spacing w:after="60"/>
            </w:pPr>
            <w:r>
              <w:rPr>
                <w:rFonts w:ascii="Arial" w:cs="Arial" w:eastAsia="Arial" w:hAnsi="Arial"/>
                <w:b/>
                <w:bCs/>
                <w:color w:val="412402"/>
                <w:sz w:val="26"/>
                <w:szCs w:val="26"/>
              </w:rPr>
              <w:t xml:space="preserve">Focus Area 3  —  Learning Experience Design</w:t>
            </w:r>
          </w:p>
          <w:p>
            <w:pPr>
              <w:spacing w:after="0"/>
            </w:pPr>
            <w:r>
              <w:rPr>
                <w:rFonts w:ascii="Arial" w:cs="Arial" w:eastAsia="Arial" w:hAnsi="Arial"/>
                <w:color w:val="2D3748"/>
                <w:sz w:val="22"/>
                <w:szCs w:val="22"/>
              </w:rPr>
              <w:t xml:space="preserve">Designing how people actually learn — architecting journeys, curating content, governing quality, and ensuring that what is delivered creates real behaviour change rather than completion metrics.</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Learning journey curation and architecture (from Content and Strategy)</w:t>
      </w:r>
    </w:p>
    <w:p>
      <w:pPr>
        <w:pStyle w:val="ListParagraph"/>
        <w:numPr>
          <w:ilvl w:val="0"/>
          <w:numId w:val="2"/>
        </w:numPr>
        <w:spacing w:after="70" w:before="30"/>
      </w:pPr>
      <w:r>
        <w:rPr>
          <w:rFonts w:ascii="Arial" w:cs="Arial" w:eastAsia="Arial" w:hAnsi="Arial"/>
          <w:color w:val="2D3748"/>
          <w:sz w:val="22"/>
          <w:szCs w:val="22"/>
        </w:rPr>
        <w:t xml:space="preserve">Content governance, quality review, and retirement (from Content)</w:t>
      </w:r>
    </w:p>
    <w:p>
      <w:pPr>
        <w:pStyle w:val="ListParagraph"/>
        <w:numPr>
          <w:ilvl w:val="0"/>
          <w:numId w:val="2"/>
        </w:numPr>
        <w:spacing w:after="70" w:before="30"/>
      </w:pPr>
      <w:r>
        <w:rPr>
          <w:rFonts w:ascii="Arial" w:cs="Arial" w:eastAsia="Arial" w:hAnsi="Arial"/>
          <w:color w:val="2D3748"/>
          <w:sz w:val="22"/>
          <w:szCs w:val="22"/>
        </w:rPr>
        <w:t xml:space="preserve">Content development enablement and SME management (from Content)</w:t>
      </w:r>
    </w:p>
    <w:p>
      <w:pPr>
        <w:pStyle w:val="ListParagraph"/>
        <w:numPr>
          <w:ilvl w:val="0"/>
          <w:numId w:val="2"/>
        </w:numPr>
        <w:spacing w:after="70" w:before="30"/>
      </w:pPr>
      <w:r>
        <w:rPr>
          <w:rFonts w:ascii="Arial" w:cs="Arial" w:eastAsia="Arial" w:hAnsi="Arial"/>
          <w:color w:val="2D3748"/>
          <w:sz w:val="22"/>
          <w:szCs w:val="22"/>
        </w:rPr>
        <w:t xml:space="preserve">New: AI content quality assurance — reviewing, refining, and validating AI-generated learning content before it reaches learners</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Content development today is a mix of production work (writing, formatting, uploading) and design work (deciding what to teach, how to sequence it, how to assess it). AI takes over the production layer almost entirely. What remains — and what grows — is the design layer: understanding how adults learn, what makes a learning journey sticky versus forgettable, how to sequence competencies, when to use a simulation versus a conversation versus a checklist. This is instructional thinking, not content production. It is a distinct discipline that does not currently have a clean home in most L&amp;D team structures.</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Instructional design principles: understanding how people build competence, not just knowledge</w:t>
      </w:r>
    </w:p>
    <w:p>
      <w:pPr>
        <w:pStyle w:val="ListParagraph"/>
        <w:numPr>
          <w:ilvl w:val="0"/>
          <w:numId w:val="2"/>
        </w:numPr>
        <w:spacing w:after="70" w:before="30"/>
      </w:pPr>
      <w:r>
        <w:rPr>
          <w:rFonts w:ascii="Arial" w:cs="Arial" w:eastAsia="Arial" w:hAnsi="Arial"/>
          <w:color w:val="2D3748"/>
          <w:sz w:val="22"/>
          <w:szCs w:val="22"/>
        </w:rPr>
        <w:t xml:space="preserve">Content judgment: knowing when AI-generated content is accurate, appropriate, and fit for purpose</w:t>
      </w:r>
    </w:p>
    <w:p>
      <w:pPr>
        <w:pStyle w:val="ListParagraph"/>
        <w:numPr>
          <w:ilvl w:val="0"/>
          <w:numId w:val="2"/>
        </w:numPr>
        <w:spacing w:after="70" w:before="30"/>
      </w:pPr>
      <w:r>
        <w:rPr>
          <w:rFonts w:ascii="Arial" w:cs="Arial" w:eastAsia="Arial" w:hAnsi="Arial"/>
          <w:color w:val="2D3748"/>
          <w:sz w:val="22"/>
          <w:szCs w:val="22"/>
        </w:rPr>
        <w:t xml:space="preserve">Journey architecture: mapping learning sequences to real workflow and performance moments</w:t>
      </w:r>
    </w:p>
    <w:p>
      <w:pPr>
        <w:pStyle w:val="ListParagraph"/>
        <w:numPr>
          <w:ilvl w:val="0"/>
          <w:numId w:val="2"/>
        </w:numPr>
        <w:spacing w:after="70" w:before="30"/>
      </w:pPr>
      <w:r>
        <w:rPr>
          <w:rFonts w:ascii="Arial" w:cs="Arial" w:eastAsia="Arial" w:hAnsi="Arial"/>
          <w:color w:val="2D3748"/>
          <w:sz w:val="22"/>
          <w:szCs w:val="22"/>
        </w:rPr>
        <w:t xml:space="preserve">Learner empathy: designing for the experience of the person learning, not the convenience of the team delivering</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Band 3–4. This is a craft role — requiring both conceptual understanding and practical execution capability. It does not require senior stakeholder management (Band 2), and it should not be consumed by operational tasks (Band 5–6).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185FA5" w:sz="24"/>
              <w:bottom w:val="single" w:color="C8E0E8" w:sz="1"/>
              <w:right w:val="single" w:color="C8E0E8" w:sz="1"/>
            </w:tcBorders>
            <w:shd w:fill="E6F1FB" w:val="clear"/>
            <w:tcMar>
              <w:top w:type="dxa" w:w="160"/>
              <w:left w:type="dxa" w:w="240"/>
              <w:bottom w:type="dxa" w:w="160"/>
              <w:right w:type="dxa" w:w="200"/>
            </w:tcMar>
          </w:tcPr>
          <w:p>
            <w:pPr>
              <w:spacing w:after="60"/>
            </w:pPr>
            <w:r>
              <w:rPr>
                <w:rFonts w:ascii="Arial" w:cs="Arial" w:eastAsia="Arial" w:hAnsi="Arial"/>
                <w:b/>
                <w:bCs/>
                <w:color w:val="0C447C"/>
                <w:sz w:val="26"/>
                <w:szCs w:val="26"/>
              </w:rPr>
              <w:t xml:space="preserve">Focus Area 4  —  AI &amp; Technology Orchestration</w:t>
            </w:r>
          </w:p>
          <w:p>
            <w:pPr>
              <w:spacing w:after="0"/>
            </w:pPr>
            <w:r>
              <w:rPr>
                <w:rFonts w:ascii="Arial" w:cs="Arial" w:eastAsia="Arial" w:hAnsi="Arial"/>
                <w:color w:val="2D3748"/>
                <w:sz w:val="22"/>
                <w:szCs w:val="22"/>
              </w:rPr>
              <w:t xml:space="preserve">Governing how AI tools and learning technology are deployed, integrated, and quality-controlled — ensuring the firm's learning technology stack serves learning goals rather than creating new forms of administrative overhead.</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LMS governance, configuration, and platform strategy (from Platforms &amp; Analytics)</w:t>
      </w:r>
    </w:p>
    <w:p>
      <w:pPr>
        <w:pStyle w:val="ListParagraph"/>
        <w:numPr>
          <w:ilvl w:val="0"/>
          <w:numId w:val="2"/>
        </w:numPr>
        <w:spacing w:after="70" w:before="30"/>
      </w:pPr>
      <w:r>
        <w:rPr>
          <w:rFonts w:ascii="Arial" w:cs="Arial" w:eastAsia="Arial" w:hAnsi="Arial"/>
          <w:color w:val="2D3748"/>
          <w:sz w:val="22"/>
          <w:szCs w:val="22"/>
        </w:rPr>
        <w:t xml:space="preserve">Vendor management and technology evaluation (from Operations)</w:t>
      </w:r>
    </w:p>
    <w:p>
      <w:pPr>
        <w:pStyle w:val="ListParagraph"/>
        <w:numPr>
          <w:ilvl w:val="0"/>
          <w:numId w:val="2"/>
        </w:numPr>
        <w:spacing w:after="70" w:before="30"/>
      </w:pPr>
      <w:r>
        <w:rPr>
          <w:rFonts w:ascii="Arial" w:cs="Arial" w:eastAsia="Arial" w:hAnsi="Arial"/>
          <w:color w:val="2D3748"/>
          <w:sz w:val="22"/>
          <w:szCs w:val="22"/>
        </w:rPr>
        <w:t xml:space="preserve">New: AI tool governance — deciding which AI tools the learning team uses, setting quality standards for AI outputs, and managing the interface between AI systems and human reviewers</w:t>
      </w:r>
    </w:p>
    <w:p>
      <w:pPr>
        <w:pStyle w:val="ListParagraph"/>
        <w:numPr>
          <w:ilvl w:val="0"/>
          <w:numId w:val="2"/>
        </w:numPr>
        <w:spacing w:after="70" w:before="30"/>
      </w:pPr>
      <w:r>
        <w:rPr>
          <w:rFonts w:ascii="Arial" w:cs="Arial" w:eastAsia="Arial" w:hAnsi="Arial"/>
          <w:color w:val="2D3748"/>
          <w:sz w:val="22"/>
          <w:szCs w:val="22"/>
        </w:rPr>
        <w:t xml:space="preserve">New: Automation design — identifying which operational tasks should be automated and defining how they should work</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The old version of this role was 'the person who manages the LMS and pulls reports'. That work is largely automated or absorbed into vendor-managed platforms. What replaces it is genuinely new: the learning team will need someone who understands how AI tools make decisions, can evaluate whether those decisions are appropriate, can set governance standards for AI-generated content and recommendations, and can design the automation workflows that handle the operational tasks that no longer require human effort. This is not an IT role. It is an L&amp;D role that requires technology fluency. The distinction matters enormously for hiring.</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Learning technology architecture: understanding how LMS, content platforms, and AI tools interact</w:t>
      </w:r>
    </w:p>
    <w:p>
      <w:pPr>
        <w:pStyle w:val="ListParagraph"/>
        <w:numPr>
          <w:ilvl w:val="0"/>
          <w:numId w:val="2"/>
        </w:numPr>
        <w:spacing w:after="70" w:before="30"/>
      </w:pPr>
      <w:r>
        <w:rPr>
          <w:rFonts w:ascii="Arial" w:cs="Arial" w:eastAsia="Arial" w:hAnsi="Arial"/>
          <w:color w:val="2D3748"/>
          <w:sz w:val="22"/>
          <w:szCs w:val="22"/>
        </w:rPr>
        <w:t xml:space="preserve">AI governance: setting standards for how AI is used, what it is allowed to decide, and what requires human review</w:t>
      </w:r>
    </w:p>
    <w:p>
      <w:pPr>
        <w:pStyle w:val="ListParagraph"/>
        <w:numPr>
          <w:ilvl w:val="0"/>
          <w:numId w:val="2"/>
        </w:numPr>
        <w:spacing w:after="70" w:before="30"/>
      </w:pPr>
      <w:r>
        <w:rPr>
          <w:rFonts w:ascii="Arial" w:cs="Arial" w:eastAsia="Arial" w:hAnsi="Arial"/>
          <w:color w:val="2D3748"/>
          <w:sz w:val="22"/>
          <w:szCs w:val="22"/>
        </w:rPr>
        <w:t xml:space="preserve">Automation thinking: identifying automation opportunities and designing workflows that actually improve quality</w:t>
      </w:r>
    </w:p>
    <w:p>
      <w:pPr>
        <w:pStyle w:val="ListParagraph"/>
        <w:numPr>
          <w:ilvl w:val="0"/>
          <w:numId w:val="2"/>
        </w:numPr>
        <w:spacing w:after="70" w:before="30"/>
      </w:pPr>
      <w:r>
        <w:rPr>
          <w:rFonts w:ascii="Arial" w:cs="Arial" w:eastAsia="Arial" w:hAnsi="Arial"/>
          <w:color w:val="2D3748"/>
          <w:sz w:val="22"/>
          <w:szCs w:val="22"/>
        </w:rPr>
        <w:t xml:space="preserve">Vendor evaluation: assessing technology options against learning quality and governance criteria, not just feature lists</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Band 3–4. This role requires enough technical confidence to work with vendors and configure platforms, and enough strategic judgment to make governance decisions. It is neither pure IT nor pure L&amp;D — it is the bridge between them.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3B6D11" w:sz="24"/>
              <w:bottom w:val="single" w:color="C8E0E8" w:sz="1"/>
              <w:right w:val="single" w:color="C8E0E8" w:sz="1"/>
            </w:tcBorders>
            <w:shd w:fill="EAF3DE" w:val="clear"/>
            <w:tcMar>
              <w:top w:type="dxa" w:w="160"/>
              <w:left w:type="dxa" w:w="240"/>
              <w:bottom w:type="dxa" w:w="160"/>
              <w:right w:type="dxa" w:w="200"/>
            </w:tcMar>
          </w:tcPr>
          <w:p>
            <w:pPr>
              <w:spacing w:after="60"/>
            </w:pPr>
            <w:r>
              <w:rPr>
                <w:rFonts w:ascii="Arial" w:cs="Arial" w:eastAsia="Arial" w:hAnsi="Arial"/>
                <w:b/>
                <w:bCs/>
                <w:color w:val="27500A"/>
                <w:sz w:val="26"/>
                <w:szCs w:val="26"/>
              </w:rPr>
              <w:t xml:space="preserve">Focus Area 5  —  Learning Impact &amp; Data</w:t>
            </w:r>
          </w:p>
          <w:p>
            <w:pPr>
              <w:spacing w:after="0"/>
            </w:pPr>
            <w:r>
              <w:rPr>
                <w:rFonts w:ascii="Arial" w:cs="Arial" w:eastAsia="Arial" w:hAnsi="Arial"/>
                <w:color w:val="2D3748"/>
                <w:sz w:val="22"/>
                <w:szCs w:val="22"/>
              </w:rPr>
              <w:t xml:space="preserve">Measuring whether learning actually changes behaviour and business performance — moving from completion dashboards to causal analysis of capability investment and its outcomes.</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Learning reporting and insights (from Platforms &amp; Analytics)</w:t>
      </w:r>
    </w:p>
    <w:p>
      <w:pPr>
        <w:pStyle w:val="ListParagraph"/>
        <w:numPr>
          <w:ilvl w:val="0"/>
          <w:numId w:val="2"/>
        </w:numPr>
        <w:spacing w:after="70" w:before="30"/>
      </w:pPr>
      <w:r>
        <w:rPr>
          <w:rFonts w:ascii="Arial" w:cs="Arial" w:eastAsia="Arial" w:hAnsi="Arial"/>
          <w:color w:val="2D3748"/>
          <w:sz w:val="22"/>
          <w:szCs w:val="22"/>
        </w:rPr>
        <w:t xml:space="preserve">Data reconciliation, auditing, and cleaning (from MIS)</w:t>
      </w:r>
    </w:p>
    <w:p>
      <w:pPr>
        <w:pStyle w:val="ListParagraph"/>
        <w:numPr>
          <w:ilvl w:val="0"/>
          <w:numId w:val="2"/>
        </w:numPr>
        <w:spacing w:after="70" w:before="30"/>
      </w:pPr>
      <w:r>
        <w:rPr>
          <w:rFonts w:ascii="Arial" w:cs="Arial" w:eastAsia="Arial" w:hAnsi="Arial"/>
          <w:color w:val="2D3748"/>
          <w:sz w:val="22"/>
          <w:szCs w:val="22"/>
        </w:rPr>
        <w:t xml:space="preserve">New: Causal impact analysis — measuring whether a learning intervention changed performance, not just whether people attended</w:t>
      </w:r>
    </w:p>
    <w:p>
      <w:pPr>
        <w:pStyle w:val="ListParagraph"/>
        <w:numPr>
          <w:ilvl w:val="0"/>
          <w:numId w:val="2"/>
        </w:numPr>
        <w:spacing w:after="70" w:before="30"/>
      </w:pPr>
      <w:r>
        <w:rPr>
          <w:rFonts w:ascii="Arial" w:cs="Arial" w:eastAsia="Arial" w:hAnsi="Arial"/>
          <w:color w:val="2D3748"/>
          <w:sz w:val="22"/>
          <w:szCs w:val="22"/>
        </w:rPr>
        <w:t xml:space="preserve">New: Predictive capability analytics — using historical data to anticipate where skill gaps will emerge</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The old version of this role was producing weekly dashboards showing hours completed, attendance rates, and budget spend. That data is now generated automatically by platforms. What L&amp;D leadership and business stakeholders actually need — and increasingly demand — is an answer to the question: did this learning investment make a difference? That requires a fundamentally different approach: control groups, longitudinal tracking, performance data integration, and the statistical confidence to make a business case. This is not a reporting role. It is an analysis and influence role, and it requires a different kind of person from the one who historically maintained the MIS function.</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Learning measurement frameworks: understanding Kirkpatrick, Phillips, and more sophisticated causal attribution models</w:t>
      </w:r>
    </w:p>
    <w:p>
      <w:pPr>
        <w:pStyle w:val="ListParagraph"/>
        <w:numPr>
          <w:ilvl w:val="0"/>
          <w:numId w:val="2"/>
        </w:numPr>
        <w:spacing w:after="70" w:before="30"/>
      </w:pPr>
      <w:r>
        <w:rPr>
          <w:rFonts w:ascii="Arial" w:cs="Arial" w:eastAsia="Arial" w:hAnsi="Arial"/>
          <w:color w:val="2D3748"/>
          <w:sz w:val="22"/>
          <w:szCs w:val="22"/>
        </w:rPr>
        <w:t xml:space="preserve">Statistical literacy: ability to design comparisons, interpret significance, and communicate uncertainty</w:t>
      </w:r>
    </w:p>
    <w:p>
      <w:pPr>
        <w:pStyle w:val="ListParagraph"/>
        <w:numPr>
          <w:ilvl w:val="0"/>
          <w:numId w:val="2"/>
        </w:numPr>
        <w:spacing w:after="70" w:before="30"/>
      </w:pPr>
      <w:r>
        <w:rPr>
          <w:rFonts w:ascii="Arial" w:cs="Arial" w:eastAsia="Arial" w:hAnsi="Arial"/>
          <w:color w:val="2D3748"/>
          <w:sz w:val="22"/>
          <w:szCs w:val="22"/>
        </w:rPr>
        <w:t xml:space="preserve">Data visualisation and storytelling: building dashboards that answer questions, not just display numbers</w:t>
      </w:r>
    </w:p>
    <w:p>
      <w:pPr>
        <w:pStyle w:val="ListParagraph"/>
        <w:numPr>
          <w:ilvl w:val="0"/>
          <w:numId w:val="2"/>
        </w:numPr>
        <w:spacing w:after="70" w:before="30"/>
      </w:pPr>
      <w:r>
        <w:rPr>
          <w:rFonts w:ascii="Arial" w:cs="Arial" w:eastAsia="Arial" w:hAnsi="Arial"/>
          <w:color w:val="2D3748"/>
          <w:sz w:val="22"/>
          <w:szCs w:val="22"/>
        </w:rPr>
        <w:t xml:space="preserve">Business outcome linkage: connecting learning data to performance, retention, client outcomes, or other business metrics</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Band 3–4, with Band 2 ownership of the measurement strategy. A small, specialist capability — not every team needs a full-time person here. In smaller teams, this focus area can be shared between a Band 3 analyst and a Band 2 who owns the framework and the business narrative.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993556" w:sz="24"/>
              <w:bottom w:val="single" w:color="C8E0E8" w:sz="1"/>
              <w:right w:val="single" w:color="C8E0E8" w:sz="1"/>
            </w:tcBorders>
            <w:shd w:fill="FBEAF0" w:val="clear"/>
            <w:tcMar>
              <w:top w:type="dxa" w:w="160"/>
              <w:left w:type="dxa" w:w="240"/>
              <w:bottom w:type="dxa" w:w="160"/>
              <w:right w:type="dxa" w:w="200"/>
            </w:tcMar>
          </w:tcPr>
          <w:p>
            <w:pPr>
              <w:spacing w:after="60"/>
            </w:pPr>
            <w:r>
              <w:rPr>
                <w:rFonts w:ascii="Arial" w:cs="Arial" w:eastAsia="Arial" w:hAnsi="Arial"/>
                <w:b/>
                <w:bCs/>
                <w:color w:val="4B1528"/>
                <w:sz w:val="26"/>
                <w:szCs w:val="26"/>
              </w:rPr>
              <w:t xml:space="preserve">Focus Area 6  —  Human-Centred Facilitation</w:t>
            </w:r>
          </w:p>
          <w:p>
            <w:pPr>
              <w:spacing w:after="0"/>
            </w:pPr>
            <w:r>
              <w:rPr>
                <w:rFonts w:ascii="Arial" w:cs="Arial" w:eastAsia="Arial" w:hAnsi="Arial"/>
                <w:color w:val="2D3748"/>
                <w:sz w:val="22"/>
                <w:szCs w:val="22"/>
              </w:rPr>
              <w:t xml:space="preserve">The irreducibly human work of building capability — coaching, facilitating complex conversations, developing facilitators, and creating the conditions where real learning happens in relationships rather than platforms.</w:t>
            </w:r>
          </w:p>
        </w:tc>
      </w:tr>
    </w:tbl>
    <w:p>
      <w:pPr>
        <w:spacing w:after="80" w:before="0"/>
      </w:pPr>
      <w:r>
        <w:t xml:space="preserve"/>
      </w:r>
    </w:p>
    <w:p>
      <w:pPr>
        <w:spacing w:after="80" w:before="180"/>
      </w:pPr>
      <w:r>
        <w:rPr>
          <w:rFonts w:ascii="Arial" w:cs="Arial" w:eastAsia="Arial" w:hAnsi="Arial"/>
          <w:b/>
          <w:bCs/>
          <w:color w:val="4A5568"/>
          <w:sz w:val="22"/>
          <w:szCs w:val="22"/>
        </w:rPr>
        <w:t xml:space="preserve">What it absorbs from today's structure</w:t>
      </w:r>
    </w:p>
    <w:p>
      <w:pPr>
        <w:pStyle w:val="ListParagraph"/>
        <w:numPr>
          <w:ilvl w:val="0"/>
          <w:numId w:val="2"/>
        </w:numPr>
        <w:spacing w:after="70" w:before="30"/>
      </w:pPr>
      <w:r>
        <w:rPr>
          <w:rFonts w:ascii="Arial" w:cs="Arial" w:eastAsia="Arial" w:hAnsi="Arial"/>
          <w:color w:val="2D3748"/>
          <w:sz w:val="22"/>
          <w:szCs w:val="22"/>
        </w:rPr>
        <w:t xml:space="preserve">Facilitator sourcing, development, and performance management (from Facilitation and Delivery)</w:t>
      </w:r>
    </w:p>
    <w:p>
      <w:pPr>
        <w:pStyle w:val="ListParagraph"/>
        <w:numPr>
          <w:ilvl w:val="0"/>
          <w:numId w:val="2"/>
        </w:numPr>
        <w:spacing w:after="70" w:before="30"/>
      </w:pPr>
      <w:r>
        <w:rPr>
          <w:rFonts w:ascii="Arial" w:cs="Arial" w:eastAsia="Arial" w:hAnsi="Arial"/>
          <w:color w:val="2D3748"/>
          <w:sz w:val="22"/>
          <w:szCs w:val="22"/>
        </w:rPr>
        <w:t xml:space="preserve">ILT and VILT delivery at a quality level that warrants human involvement (from Delivery)</w:t>
      </w:r>
    </w:p>
    <w:p>
      <w:pPr>
        <w:pStyle w:val="ListParagraph"/>
        <w:numPr>
          <w:ilvl w:val="0"/>
          <w:numId w:val="2"/>
        </w:numPr>
        <w:spacing w:after="70" w:before="30"/>
      </w:pPr>
      <w:r>
        <w:rPr>
          <w:rFonts w:ascii="Arial" w:cs="Arial" w:eastAsia="Arial" w:hAnsi="Arial"/>
          <w:color w:val="2D3748"/>
          <w:sz w:val="22"/>
          <w:szCs w:val="22"/>
        </w:rPr>
        <w:t xml:space="preserve">New: AI-era facilitation design — helping facilitators work effectively when learners also have AI tools in the room</w:t>
      </w:r>
    </w:p>
    <w:p>
      <w:pPr>
        <w:pStyle w:val="ListParagraph"/>
        <w:numPr>
          <w:ilvl w:val="0"/>
          <w:numId w:val="2"/>
        </w:numPr>
        <w:spacing w:after="70" w:before="30"/>
      </w:pPr>
      <w:r>
        <w:rPr>
          <w:rFonts w:ascii="Arial" w:cs="Arial" w:eastAsia="Arial" w:hAnsi="Arial"/>
          <w:color w:val="2D3748"/>
          <w:sz w:val="22"/>
          <w:szCs w:val="22"/>
        </w:rPr>
        <w:t xml:space="preserve">New: Coaching and capability conversations — supporting leaders to develop their teams through regular, structured learning dialogue rather than formal programmes</w:t>
      </w:r>
    </w:p>
    <w:p>
      <w:pPr>
        <w:spacing w:after="60" w:before="0"/>
      </w:pPr>
      <w:r>
        <w:t xml:space="preserve"/>
      </w:r>
    </w:p>
    <w:p>
      <w:pPr>
        <w:spacing w:after="80" w:before="180"/>
      </w:pPr>
      <w:r>
        <w:rPr>
          <w:rFonts w:ascii="Arial" w:cs="Arial" w:eastAsia="Arial" w:hAnsi="Arial"/>
          <w:b/>
          <w:bCs/>
          <w:color w:val="4A5568"/>
          <w:sz w:val="22"/>
          <w:szCs w:val="22"/>
        </w:rPr>
        <w:t xml:space="preserve">Why this becomes a distinct focus area</w:t>
      </w:r>
    </w:p>
    <w:p>
      <w:pPr>
        <w:spacing w:after="120" w:before="0"/>
      </w:pPr>
      <w:r>
        <w:rPr>
          <w:rFonts w:ascii="Arial" w:cs="Arial" w:eastAsia="Arial" w:hAnsi="Arial"/>
          <w:i w:val="false"/>
          <w:iCs w:val="false"/>
          <w:color w:val="2D3748"/>
          <w:sz w:val="22"/>
          <w:szCs w:val="22"/>
        </w:rPr>
        <w:t xml:space="preserve">The volume of facilitation support work falls sharply as AI handles production, logistics, and routine readiness tasks. What remains — and what grows in strategic importance — is the quality of human connection in learning. Research consistently shows that the single most powerful lever for adult learning is the quality of the relationship between learner and facilitator, and the psychological safety of the learning environment. Neither of these is automatable. In a world where most content is AI-generated and most operational logistics are automated, the human facilitator becomes the primary differentiator. The L&amp;D team's role is to find, develop, and maintain an exceptional internal faculty — and to be capable facilitators themselves where needed.</w:t>
      </w:r>
    </w:p>
    <w:p>
      <w:pPr>
        <w:spacing w:after="60" w:before="0"/>
      </w:pPr>
      <w:r>
        <w:t xml:space="preserve"/>
      </w:r>
    </w:p>
    <w:p>
      <w:pPr>
        <w:spacing w:after="80" w:before="180"/>
      </w:pPr>
      <w:r>
        <w:rPr>
          <w:rFonts w:ascii="Arial" w:cs="Arial" w:eastAsia="Arial" w:hAnsi="Arial"/>
          <w:b/>
          <w:bCs/>
          <w:color w:val="4A5568"/>
          <w:sz w:val="22"/>
          <w:szCs w:val="22"/>
        </w:rPr>
        <w:t xml:space="preserve">Core skills required</w:t>
      </w:r>
    </w:p>
    <w:p>
      <w:pPr>
        <w:pStyle w:val="ListParagraph"/>
        <w:numPr>
          <w:ilvl w:val="0"/>
          <w:numId w:val="2"/>
        </w:numPr>
        <w:spacing w:after="70" w:before="30"/>
      </w:pPr>
      <w:r>
        <w:rPr>
          <w:rFonts w:ascii="Arial" w:cs="Arial" w:eastAsia="Arial" w:hAnsi="Arial"/>
          <w:color w:val="2D3748"/>
          <w:sz w:val="22"/>
          <w:szCs w:val="22"/>
        </w:rPr>
        <w:t xml:space="preserve">Facilitation design: knowing what kinds of learning experiences need human facilitation and what kind of facilitation works for different audiences</w:t>
      </w:r>
    </w:p>
    <w:p>
      <w:pPr>
        <w:pStyle w:val="ListParagraph"/>
        <w:numPr>
          <w:ilvl w:val="0"/>
          <w:numId w:val="2"/>
        </w:numPr>
        <w:spacing w:after="70" w:before="30"/>
      </w:pPr>
      <w:r>
        <w:rPr>
          <w:rFonts w:ascii="Arial" w:cs="Arial" w:eastAsia="Arial" w:hAnsi="Arial"/>
          <w:color w:val="2D3748"/>
          <w:sz w:val="22"/>
          <w:szCs w:val="22"/>
        </w:rPr>
        <w:t xml:space="preserve">Facilitator development: coaching internal facilitators to improve their practice, not just briefing them on content</w:t>
      </w:r>
    </w:p>
    <w:p>
      <w:pPr>
        <w:pStyle w:val="ListParagraph"/>
        <w:numPr>
          <w:ilvl w:val="0"/>
          <w:numId w:val="2"/>
        </w:numPr>
        <w:spacing w:after="70" w:before="30"/>
      </w:pPr>
      <w:r>
        <w:rPr>
          <w:rFonts w:ascii="Arial" w:cs="Arial" w:eastAsia="Arial" w:hAnsi="Arial"/>
          <w:color w:val="2D3748"/>
          <w:sz w:val="22"/>
          <w:szCs w:val="22"/>
        </w:rPr>
        <w:t xml:space="preserve">Complex conversation facilitation: leading sessions where outcomes are uncertain and psychological safety is essential</w:t>
      </w:r>
    </w:p>
    <w:p>
      <w:pPr>
        <w:pStyle w:val="ListParagraph"/>
        <w:numPr>
          <w:ilvl w:val="0"/>
          <w:numId w:val="2"/>
        </w:numPr>
        <w:spacing w:after="70" w:before="30"/>
      </w:pPr>
      <w:r>
        <w:rPr>
          <w:rFonts w:ascii="Arial" w:cs="Arial" w:eastAsia="Arial" w:hAnsi="Arial"/>
          <w:color w:val="2D3748"/>
          <w:sz w:val="22"/>
          <w:szCs w:val="22"/>
        </w:rPr>
        <w:t xml:space="preserve">Quality assessment: distinguishing excellent facilitation from merely competent facilitation and acting on the difference</w:t>
      </w:r>
    </w:p>
    <w:p>
      <w:pPr>
        <w:spacing w:after="60" w:before="0"/>
      </w:pPr>
      <w:r>
        <w:t xml:space="preserve"/>
      </w:r>
    </w:p>
    <w:p>
      <w:pPr>
        <w:spacing w:after="80" w:before="180"/>
      </w:pPr>
      <w:r>
        <w:rPr>
          <w:rFonts w:ascii="Arial" w:cs="Arial" w:eastAsia="Arial" w:hAnsi="Arial"/>
          <w:b/>
          <w:bCs/>
          <w:color w:val="4A5568"/>
          <w:sz w:val="22"/>
          <w:szCs w:val="22"/>
        </w:rPr>
        <w:t xml:space="preserve">Band placement</w:t>
      </w:r>
    </w:p>
    <w:p>
      <w:pPr>
        <w:spacing w:after="120" w:before="0"/>
      </w:pPr>
      <w:r>
        <w:rPr>
          <w:rFonts w:ascii="Arial" w:cs="Arial" w:eastAsia="Arial" w:hAnsi="Arial"/>
          <w:i w:val="false"/>
          <w:iCs w:val="false"/>
          <w:color w:val="2D3748"/>
          <w:sz w:val="22"/>
          <w:szCs w:val="22"/>
        </w:rPr>
        <w:t xml:space="preserve">Band 2–4. This is a quality-focused, judgment-intensive area. It requires enough seniority to challenge senior facilitators and enough craft knowledge to distinguish excellent practice. Band 5–6 support roles in facilitation largely migrate to other focus areas as production work automates.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5568" w:val="clear"/>
            <w:tcMar>
              <w:top w:type="dxa" w:w="220"/>
              <w:left w:type="dxa" w:w="320"/>
              <w:bottom w:type="dxa" w:w="220"/>
              <w:right w:type="dxa" w:w="320"/>
            </w:tcMar>
          </w:tcPr>
          <w:p>
            <w:r>
              <w:rPr>
                <w:rFonts w:ascii="Arial" w:cs="Arial" w:eastAsia="Arial" w:hAnsi="Arial"/>
                <w:b/>
                <w:bCs/>
                <w:color w:val="FFFFFF"/>
                <w:sz w:val="22"/>
                <w:szCs w:val="22"/>
              </w:rPr>
              <w:t xml:space="preserve">PART THREE  |  THE TRANSITION MAP</w:t>
            </w:r>
          </w:p>
        </w:tc>
      </w:tr>
    </w:tbl>
    <w:p>
      <w:pPr>
        <w:spacing w:after="80" w:before="0"/>
      </w:pPr>
      <w:r>
        <w:t xml:space="preserve"/>
      </w:r>
    </w:p>
    <w:p>
      <w:pPr>
        <w:pStyle w:val="Heading1"/>
        <w:spacing w:after="120" w:before="360"/>
      </w:pPr>
      <w:r>
        <w:rPr>
          <w:rFonts w:ascii="Arial" w:cs="Arial" w:eastAsia="Arial" w:hAnsi="Arial"/>
          <w:b/>
          <w:bCs/>
          <w:color w:val="1B3A5C"/>
          <w:sz w:val="34"/>
          <w:szCs w:val="34"/>
        </w:rPr>
        <w:t xml:space="preserve">The Transition Map: From Today's Five to Tomorrow's Six</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following shows how activities currently organised under today's five focus areas redistribute into the six future focus areas. This is not a one-to-one mapping — several today's activities do not survive the transition at all (they are automated), and several future activities are genuinely new.</w:t>
      </w:r>
    </w:p>
    <w:p>
      <w:pPr>
        <w:spacing w:after="80" w:before="0"/>
      </w:pPr>
      <w:r>
        <w:t xml:space="preserve"/>
      </w:r>
    </w:p>
    <w:p>
      <w:pPr>
        <w:pStyle w:val="Heading2"/>
        <w:spacing w:after="100" w:before="260"/>
      </w:pPr>
      <w:r>
        <w:rPr>
          <w:rFonts w:ascii="Arial" w:cs="Arial" w:eastAsia="Arial" w:hAnsi="Arial"/>
          <w:b/>
          <w:bCs/>
          <w:color w:val="0D7A6E"/>
          <w:sz w:val="26"/>
          <w:szCs w:val="26"/>
        </w:rPr>
        <w:t xml:space="preserve">3.1  What Survives, What Shifts, What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Today's Focus Area</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Where It Goes</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What Changes</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Operations</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Most of today's operational tasks — VILT production, LMS entries, venue logistics, participant reminders — are automated. What survives migrates to AI &amp; Technology Orchestration as exception handling and governance.</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Very little survives as a human focus area. 'Operations' as a career path effectively ends for most bands.</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Strategy</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Business partnership conversations migrate to the Business Partnership focus area. Analytical and intelligence work migrates to Learning Intelligence. The blended 'Strategy' person splits into two different specialists.</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Strategy as a single focus area becomes too broad to be useful as a hiring profile.</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Content</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Content governance and quality judgment migrate to Learning Experience Design. Content production (writing, building, formatting) is largely automated. Content strategy (what should exist) becomes part of Learning Intelligence.</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Content production as a standalone focus area ends. Content judgment and design grow.</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Platforms &amp; Analytics</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Platform configuration and vendor management migrate to AI &amp; Technology Orchestration. Data reporting and extraction are automated. Insight generation and impact measurement migrate to Learning Impact &amp; Data.</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'Platform admin' ends as a career focus. Technology governance and impact analysis both grow significantly.</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Facilitation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High-volume logistics (rostering, TTT administration, readiness coordination) migrate to AI &amp; Technology Orchestration. Core facilitation quality work becomes Human-Centred Facilitation.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Facilitation volume falls. Facilitation quality expectations rise sharply.</w:t>
            </w:r>
          </w:p>
        </w:tc>
      </w:tr>
    </w:tbl>
    <w:p>
      <w:pPr>
        <w:spacing w:after="120" w:before="0"/>
      </w:pPr>
      <w:r>
        <w:t xml:space="preserve"/>
      </w:r>
    </w:p>
    <w:p>
      <w:pPr>
        <w:pStyle w:val="Heading2"/>
        <w:spacing w:after="100" w:before="260"/>
      </w:pPr>
      <w:r>
        <w:rPr>
          <w:rFonts w:ascii="Arial" w:cs="Arial" w:eastAsia="Arial" w:hAnsi="Arial"/>
          <w:b/>
          <w:bCs/>
          <w:color w:val="0D7A6E"/>
          <w:sz w:val="26"/>
          <w:szCs w:val="26"/>
        </w:rPr>
        <w:t xml:space="preserve">3.2  The New Band Architecture</w:t>
      </w:r>
    </w:p>
    <w:p>
      <w:pPr>
        <w:spacing w:after="120" w:before="0"/>
      </w:pPr>
      <w:r>
        <w:rPr>
          <w:rFonts w:ascii="Arial" w:cs="Arial" w:eastAsia="Arial" w:hAnsi="Arial"/>
          <w:i w:val="false"/>
          <w:iCs w:val="false"/>
          <w:color w:val="2D3748"/>
          <w:sz w:val="22"/>
          <w:szCs w:val="22"/>
        </w:rPr>
        <w:t xml:space="preserve">The six future focus areas do not distribute evenly across the band structure. The table below shows the natural home for each focus area and the implications for team design.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Focus Area</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Band Home &amp; Team Size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Learning Intelligence</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Band 2–3  |  Small team, high analytical capability, close to business leadership</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Business Partnership</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Band 2  |  Very senior, very small, one per major service line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Learning Experience Design</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Band 3–4  |  The largest future focus area by headcount in most teams</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AI &amp; Technology Orchestration</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Band 3–4  |  Specialist role; one or two per team depending on technology footprint</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Learning Impact &amp; Data</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Band 3–4  |  Specialist; can be shared across service lines in smaller teams</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Human-Centred Facilitation</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Band 2–4  |  Quality-intensive; requires senior oversight of a smaller facilitator pool</w:t>
            </w:r>
          </w:p>
        </w:tc>
      </w:tr>
    </w:tbl>
    <w:p>
      <w:pPr>
        <w:spacing w:after="120" w:before="0"/>
      </w:pPr>
      <w:r>
        <w:t xml:space="preserve"/>
      </w:r>
    </w:p>
    <w:p>
      <w:pPr>
        <w:pStyle w:val="Heading2"/>
        <w:spacing w:after="100" w:before="260"/>
      </w:pPr>
      <w:r>
        <w:rPr>
          <w:rFonts w:ascii="Arial" w:cs="Arial" w:eastAsia="Arial" w:hAnsi="Arial"/>
          <w:b/>
          <w:bCs/>
          <w:color w:val="0D7A6E"/>
          <w:sz w:val="26"/>
          <w:szCs w:val="26"/>
        </w:rPr>
        <w:t xml:space="preserve">3.3  What Happens to Band 5 and Band 6</w:t>
      </w:r>
    </w:p>
    <w:p>
      <w:pPr>
        <w:spacing w:after="120" w:before="0"/>
      </w:pPr>
      <w:r>
        <w:rPr>
          <w:rFonts w:ascii="Arial" w:cs="Arial" w:eastAsia="Arial" w:hAnsi="Arial"/>
          <w:i w:val="false"/>
          <w:iCs w:val="false"/>
          <w:color w:val="2D3748"/>
          <w:sz w:val="22"/>
          <w:szCs w:val="22"/>
        </w:rPr>
        <w:t xml:space="preserve">This is the hardest question in the transition, and it deserves a direct answer.</w:t>
      </w:r>
    </w:p>
    <w:p>
      <w:pPr>
        <w:spacing w:after="120" w:before="0"/>
      </w:pPr>
      <w:r>
        <w:rPr>
          <w:rFonts w:ascii="Arial" w:cs="Arial" w:eastAsia="Arial" w:hAnsi="Arial"/>
          <w:i w:val="false"/>
          <w:iCs w:val="false"/>
          <w:color w:val="2D3748"/>
          <w:sz w:val="22"/>
          <w:szCs w:val="22"/>
        </w:rPr>
        <w:t xml:space="preserve">Band 5 and Band 6 currently account for the largest share of L&amp;D headcount, and the majority of their work sits in the activities that AI will automate most aggressively: VILT production, LMS administration, venue coordination, attendance management, and participant reminders.</w:t>
      </w:r>
    </w:p>
    <w:p>
      <w:pPr>
        <w:spacing w:after="120" w:before="0"/>
      </w:pPr>
      <w:r>
        <w:rPr>
          <w:rFonts w:ascii="Arial" w:cs="Arial" w:eastAsia="Arial" w:hAnsi="Arial"/>
          <w:i w:val="false"/>
          <w:iCs w:val="false"/>
          <w:color w:val="2D3748"/>
          <w:sz w:val="22"/>
          <w:szCs w:val="22"/>
        </w:rPr>
        <w:t xml:space="preserve">This does not mean these bands disappear. It means the roles change significantly, and teams that simply maintain the current ratio of Band 5–6 to Band 2–4 will be structurally over-resourced in automated work and under-resourced in judgment-intensive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The Right Frame for Band 5–6</w:t>
            </w:r>
          </w:p>
          <w:p>
            <w:pPr>
              <w:spacing w:after="0" w:before="0"/>
            </w:pPr>
            <w:r>
              <w:rPr>
                <w:rFonts w:ascii="Arial" w:cs="Arial" w:eastAsia="Arial" w:hAnsi="Arial"/>
                <w:color w:val="2D3748"/>
                <w:sz w:val="21"/>
                <w:szCs w:val="21"/>
              </w:rPr>
              <w:t xml:space="preserve">The question is not 'what do we do with Band 5–6 when AI automates their work?' It is: 'which Band 5–6 individuals have the growth capability to move into Learning Experience Design, AI &amp; Technology Orchestration, or Learning Impact &amp; Data — and what do we need to do now to develop them into those roles?' The white paper on the Learning Role &amp; Skill Recommender for Hiring addresses the hiring side of this question. The development side requires a separate, equally structured approach.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20"/>
              <w:left w:type="dxa" w:w="320"/>
              <w:bottom w:type="dxa" w:w="220"/>
              <w:right w:type="dxa" w:w="320"/>
            </w:tcMar>
          </w:tcPr>
          <w:p>
            <w:r>
              <w:rPr>
                <w:rFonts w:ascii="Arial" w:cs="Arial" w:eastAsia="Arial" w:hAnsi="Arial"/>
                <w:b/>
                <w:bCs/>
                <w:color w:val="FFFFFF"/>
                <w:sz w:val="22"/>
                <w:szCs w:val="22"/>
              </w:rPr>
              <w:t xml:space="preserve">PART FOUR  |  HIRING IMPLICATIONS</w:t>
            </w:r>
          </w:p>
        </w:tc>
      </w:tr>
    </w:tbl>
    <w:p>
      <w:pPr>
        <w:spacing w:after="80" w:before="0"/>
      </w:pPr>
      <w:r>
        <w:t xml:space="preserve"/>
      </w:r>
    </w:p>
    <w:p>
      <w:pPr>
        <w:pStyle w:val="Heading1"/>
        <w:spacing w:after="120" w:before="360"/>
      </w:pPr>
      <w:r>
        <w:rPr>
          <w:rFonts w:ascii="Arial" w:cs="Arial" w:eastAsia="Arial" w:hAnsi="Arial"/>
          <w:b/>
          <w:bCs/>
          <w:color w:val="1B3A5C"/>
          <w:sz w:val="34"/>
          <w:szCs w:val="34"/>
        </w:rPr>
        <w:t xml:space="preserve">Hiring Implications: What Changes in How We Recruit</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six future focus areas require different hiring profiles from the five current ones. The following section translates the focus area redesign into specific, actionable changes to how the Learning function hires.</w:t>
      </w:r>
    </w:p>
    <w:p>
      <w:pPr>
        <w:pStyle w:val="Heading2"/>
        <w:spacing w:after="100" w:before="260"/>
      </w:pPr>
      <w:r>
        <w:rPr>
          <w:rFonts w:ascii="Arial" w:cs="Arial" w:eastAsia="Arial" w:hAnsi="Arial"/>
          <w:b/>
          <w:bCs/>
          <w:color w:val="0D7A6E"/>
          <w:sz w:val="26"/>
          <w:szCs w:val="26"/>
        </w:rPr>
        <w:t xml:space="preserve">4.1  Skills That Are Rising in Value Across All Focus Areas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Rising Skill</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Why It Matters and Where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AI literacy — practical, not theoretical</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Not 'understanding of AI' but demonstrated use of AI tools with good judgment about where they help and where they mislead. Required at Band 3 and above by 2026.</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Data interpretation over data production</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Not 'Excel skills' but the ability to look at a dataset and ask 'what does this mean and what should we do?' Required in Learning Intelligence, Impact &amp; Data, and AI &amp; Technology Orchestration.</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Business language fluency</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Not 'stakeholder management' but the ability to speak about capability gaps in terms of revenue risk, client experience, or competitive positioning. Required in Business Partnership and Learning Intelligence.</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Content judgment over content production</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Not 'can you write a module' but 'can you tell whether this content will actually build the skill it claims to build?' Required in Learning Experience Design and AI &amp; Technology Orchestration.</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Autonomous working and growth orientation</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Roles in all six future focus areas require more independent judgment than today's equivalent bands. People who need extensive direction will not succeed in a team where AI handles the structured work.</w:t>
            </w:r>
          </w:p>
        </w:tc>
      </w:tr>
    </w:tbl>
    <w:p>
      <w:pPr>
        <w:spacing w:after="120" w:before="0"/>
      </w:pPr>
      <w:r>
        <w:t xml:space="preserve"/>
      </w:r>
    </w:p>
    <w:p>
      <w:pPr>
        <w:pStyle w:val="Heading2"/>
        <w:spacing w:after="100" w:before="260"/>
      </w:pPr>
      <w:r>
        <w:rPr>
          <w:rFonts w:ascii="Arial" w:cs="Arial" w:eastAsia="Arial" w:hAnsi="Arial"/>
          <w:b/>
          <w:bCs/>
          <w:color w:val="0D7A6E"/>
          <w:sz w:val="26"/>
          <w:szCs w:val="26"/>
        </w:rPr>
        <w:t xml:space="preserve">4.2  Skills That Are Falling in Value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Falling Skill</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Why It Is Losing Value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Manual operational execution</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VILT production, LMS data entry, venue coordination, participant chasing. These remain important at Band 5–6 in the near term but should not be primary hiring signals even now.</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Generic L&amp;D process knowledge</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Knowing how to run a programme end-to-end is table stakes. It is not a differentiator and should not be treated as one in hiring.</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Volume throughput capacity</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The ability to handle high volumes of transactional work is increasingly irrelevant as AI absorbs that volume. Hiring for throughput selects for the wrong profile.</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Single-platform LMS expertise</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Platform skills transfer. LMS-specific expertise as a must-have selects for people who will be redundant when the platform changes.</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L&amp;D certifications and qualifications</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Not predictive of performance in any of the six future focus areas. Replace with evidence of judgment, impact, and growth.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A Hiring Principle for the Transition Period</w:t>
            </w:r>
          </w:p>
          <w:p>
            <w:pPr>
              <w:spacing w:after="0" w:before="0"/>
            </w:pPr>
            <w:r>
              <w:rPr>
                <w:rFonts w:ascii="Arial" w:cs="Arial" w:eastAsia="Arial" w:hAnsi="Arial"/>
                <w:color w:val="2D3748"/>
                <w:sz w:val="21"/>
                <w:szCs w:val="21"/>
              </w:rPr>
              <w:t xml:space="preserve">For the next 2–3 years, the best hires will be people who are strong enough in current responsibilities to perform immediately, and curious and capable enough to grow into the future focus area their role is evolving toward. Hiring for only one of these produces either a high performer who becomes obsolete, or a future-ready hire who cannot do the job today.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A6E" w:val="clear"/>
            <w:tcMar>
              <w:top w:type="dxa" w:w="220"/>
              <w:left w:type="dxa" w:w="320"/>
              <w:bottom w:type="dxa" w:w="220"/>
              <w:right w:type="dxa" w:w="320"/>
            </w:tcMar>
          </w:tcPr>
          <w:p>
            <w:r>
              <w:rPr>
                <w:rFonts w:ascii="Arial" w:cs="Arial" w:eastAsia="Arial" w:hAnsi="Arial"/>
                <w:b/>
                <w:bCs/>
                <w:color w:val="FFFFFF"/>
                <w:sz w:val="22"/>
                <w:szCs w:val="22"/>
              </w:rPr>
              <w:t xml:space="preserve">PART FIVE  |  GOVERNANCE &amp; ADOPTION</w:t>
            </w:r>
          </w:p>
        </w:tc>
      </w:tr>
    </w:tbl>
    <w:p>
      <w:pPr>
        <w:spacing w:after="80" w:before="0"/>
      </w:pPr>
      <w:r>
        <w:t xml:space="preserve"/>
      </w:r>
    </w:p>
    <w:p>
      <w:pPr>
        <w:pStyle w:val="Heading1"/>
        <w:spacing w:after="120" w:before="360"/>
      </w:pPr>
      <w:r>
        <w:rPr>
          <w:rFonts w:ascii="Arial" w:cs="Arial" w:eastAsia="Arial" w:hAnsi="Arial"/>
          <w:b/>
          <w:bCs/>
          <w:color w:val="1B3A5C"/>
          <w:sz w:val="34"/>
          <w:szCs w:val="34"/>
        </w:rPr>
        <w:t xml:space="preserve">Governance and Adoption Roadmap</w:t>
      </w:r>
    </w:p>
    <w:p>
      <w:pPr>
        <w:pBdr>
          <w:bottom w:val="single" w:color="0D7A6E" w:sz="8" w:space="1"/>
        </w:pBdr>
        <w:spacing w:after="160" w:before="0"/>
      </w:pPr>
    </w:p>
    <w:p>
      <w:pPr>
        <w:pStyle w:val="Heading2"/>
        <w:spacing w:after="100" w:before="260"/>
      </w:pPr>
      <w:r>
        <w:rPr>
          <w:rFonts w:ascii="Arial" w:cs="Arial" w:eastAsia="Arial" w:hAnsi="Arial"/>
          <w:b/>
          <w:bCs/>
          <w:color w:val="0D7A6E"/>
          <w:sz w:val="26"/>
          <w:szCs w:val="26"/>
        </w:rPr>
        <w:t xml:space="preserve">5.1  This Is a 3-Year Transition, Not a Restructure</w:t>
      </w:r>
    </w:p>
    <w:p>
      <w:pPr>
        <w:spacing w:after="120" w:before="0"/>
      </w:pPr>
      <w:r>
        <w:rPr>
          <w:rFonts w:ascii="Arial" w:cs="Arial" w:eastAsia="Arial" w:hAnsi="Arial"/>
          <w:i w:val="false"/>
          <w:iCs w:val="false"/>
          <w:color w:val="2D3748"/>
          <w:sz w:val="22"/>
          <w:szCs w:val="22"/>
        </w:rPr>
        <w:t xml:space="preserve">The six future focus areas will not replace the five current ones overnight, and this white paper does not recommend an immediate restructure. Professional services L&amp;D teams are mid-cycle on existing hiring, development plans, and programme commitments. A disruptive reorganisation would create more damage than the transition itself.</w:t>
      </w:r>
    </w:p>
    <w:p>
      <w:pPr>
        <w:spacing w:after="120" w:before="0"/>
      </w:pPr>
      <w:r>
        <w:rPr>
          <w:rFonts w:ascii="Arial" w:cs="Arial" w:eastAsia="Arial" w:hAnsi="Arial"/>
          <w:i w:val="false"/>
          <w:iCs w:val="false"/>
          <w:color w:val="2D3748"/>
          <w:sz w:val="22"/>
          <w:szCs w:val="22"/>
        </w:rPr>
        <w:t xml:space="preserve">Instead, the recommended approach is gradual portfolio migration: using every new hire, every role redesign, and every team review as an opportunity to move toward the future focus area architecture rather than reinforcing the existing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Year</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What Happens</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30"/>
              <w:bottom w:type="dxa" w:w="100"/>
              <w:right w:type="dxa" w:w="130"/>
            </w:tcMar>
          </w:tcPr>
          <w:p>
            <w:r>
              <w:rPr>
                <w:rFonts w:ascii="Arial" w:cs="Arial" w:eastAsia="Arial" w:hAnsi="Arial"/>
                <w:b/>
                <w:bCs/>
                <w:color w:val="FFFFFF"/>
                <w:sz w:val="20"/>
                <w:szCs w:val="20"/>
              </w:rPr>
              <w:t xml:space="preserve">Success Indicator</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Year 1: Awareness and Anchoring</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Share the future focus area framework with the full learning leadership team. Use it in every new hiring brief. Begin identifying which existing team members have growth trajectories toward the six future areas. Do not restructure.</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Hiring briefs updated; quarterly review of team portfolio against future framework</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Year 2: Active Portfolio Migration</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As roles turn over, hire explicitly for future focus areas rather than current ones. Begin developing Band 4–5 individuals toward Learning Experience Design and AI &amp; Technology Orchestration. Pilot the future focus area structure in one service line.</w:t>
            </w:r>
          </w:p>
        </w:tc>
        <w:tc>
          <w:tcPr>
            <w:tcW w:type="dxa" w:w="3120"/>
            <w:tcBorders>
              <w:top w:val="single" w:color="C8E0E8" w:sz="1"/>
              <w:left w:val="single" w:color="C8E0E8" w:sz="1"/>
              <w:bottom w:val="single" w:color="C8E0E8" w:sz="1"/>
              <w:right w:val="single" w:color="C8E0E8" w:sz="1"/>
            </w:tcBorders>
            <w:shd w:fill="EBF4F7" w:val="clear"/>
            <w:tcMar>
              <w:top w:type="dxa" w:w="80"/>
              <w:left w:type="dxa" w:w="130"/>
              <w:bottom w:type="dxa" w:w="80"/>
              <w:right w:type="dxa" w:w="130"/>
            </w:tcMar>
          </w:tcPr>
          <w:p>
            <w:r>
              <w:rPr>
                <w:rFonts w:ascii="Arial" w:cs="Arial" w:eastAsia="Arial" w:hAnsi="Arial"/>
                <w:color w:val="2D3748"/>
                <w:sz w:val="20"/>
                <w:szCs w:val="20"/>
              </w:rPr>
              <w:t xml:space="preserve">At least 30% of active roles aligned to future focus areas; pilot SL identified and running</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Year 3: Full Framework Adoption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Complete the migration. All new roles aligned to the six future focus areas. Review team structure and band ratios against the new architecture. Formal retirement of the five-focus-area model.</w:t>
            </w:r>
          </w:p>
        </w:tc>
        <w:tc>
          <w:tcPr>
            <w:tcW w:type="dxa" w:w="3120"/>
            <w:tcBorders>
              <w:top w:val="single" w:color="C8E0E8" w:sz="1"/>
              <w:left w:val="single" w:color="C8E0E8" w:sz="1"/>
              <w:bottom w:val="single" w:color="C8E0E8" w:sz="1"/>
              <w:right w:val="single" w:color="C8E0E8" w:sz="1"/>
            </w:tcBorders>
            <w:shd w:fill="FFFFFF" w:val="clear"/>
            <w:tcMar>
              <w:top w:type="dxa" w:w="80"/>
              <w:left w:type="dxa" w:w="130"/>
              <w:bottom w:type="dxa" w:w="80"/>
              <w:right w:type="dxa" w:w="130"/>
            </w:tcMar>
          </w:tcPr>
          <w:p>
            <w:r>
              <w:rPr>
                <w:rFonts w:ascii="Arial" w:cs="Arial" w:eastAsia="Arial" w:hAnsi="Arial"/>
                <w:color w:val="2D3748"/>
                <w:sz w:val="20"/>
                <w:szCs w:val="20"/>
              </w:rPr>
              <w:t xml:space="preserve">Full framework in place; annual review against business and technology landscape</w:t>
            </w:r>
          </w:p>
        </w:tc>
      </w:tr>
    </w:tbl>
    <w:p>
      <w:pPr>
        <w:spacing w:after="120" w:before="0"/>
      </w:pPr>
      <w:r>
        <w:t xml:space="preserve"/>
      </w:r>
    </w:p>
    <w:p>
      <w:pPr>
        <w:pStyle w:val="Heading2"/>
        <w:spacing w:after="100" w:before="260"/>
      </w:pPr>
      <w:r>
        <w:rPr>
          <w:rFonts w:ascii="Arial" w:cs="Arial" w:eastAsia="Arial" w:hAnsi="Arial"/>
          <w:b/>
          <w:bCs/>
          <w:color w:val="0D7A6E"/>
          <w:sz w:val="26"/>
          <w:szCs w:val="26"/>
        </w:rPr>
        <w:t xml:space="preserve">5.2  Governance Model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Governance Element</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Annual future focus area review</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L&amp;D Directors review the six focus areas annually against developments in AI capability, business strategy, and workforce data. The framework should evolve — it is not a fixed endpoint.</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HR partnership on all hiring briefs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Every new hire brief is reviewed against the future focus area framework before going to market. HR Business Partners are trained on the framework and apply it in role sign-off.</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Quarterly portfolio assessment</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Each service line reports quarterly on how its current team portfolio maps to the future focus areas. Gaps and surpluses are flagged and addressed in the next hiring cycle.</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Transparent communication with teams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The future focus area framework is shared with the L&amp;D team — not as a threat, but as a development roadmap. People deserve to know how their role is evolving and what they can do to grow.</w:t>
            </w:r>
          </w:p>
        </w:tc>
      </w:tr>
    </w:tbl>
    <w:p>
      <w:pPr>
        <w:spacing w:after="120" w:before="0"/>
      </w:pPr>
      <w:r>
        <w:t xml:space="preserve"/>
      </w:r>
    </w:p>
    <w:p>
      <w:pPr>
        <w:pStyle w:val="Heading1"/>
        <w:spacing w:after="120" w:before="360"/>
      </w:pPr>
      <w:r>
        <w:rPr>
          <w:rFonts w:ascii="Arial" w:cs="Arial" w:eastAsia="Arial" w:hAnsi="Arial"/>
          <w:b/>
          <w:bCs/>
          <w:color w:val="1B3A5C"/>
          <w:sz w:val="34"/>
          <w:szCs w:val="34"/>
        </w:rPr>
        <w:t xml:space="preserve">Conclusion</w:t>
      </w:r>
    </w:p>
    <w:p>
      <w:pPr>
        <w:pBdr>
          <w:bottom w:val="single" w:color="0D7A6E" w:sz="8" w:space="1"/>
        </w:pBdr>
        <w:spacing w:after="160" w:before="0"/>
      </w:pPr>
    </w:p>
    <w:p>
      <w:pPr>
        <w:spacing w:after="120" w:before="0"/>
      </w:pPr>
      <w:r>
        <w:rPr>
          <w:rFonts w:ascii="Arial" w:cs="Arial" w:eastAsia="Arial" w:hAnsi="Arial"/>
          <w:i w:val="false"/>
          <w:iCs w:val="false"/>
          <w:color w:val="2D3748"/>
          <w:sz w:val="22"/>
          <w:szCs w:val="22"/>
        </w:rPr>
        <w:t xml:space="preserve">The five focus areas that organise L&amp;D work today were the right answer to the right question — for a different era. They describe how to deliver learning efficiently in a world where efficiency was the constraint. That constraint is dissolving.</w:t>
      </w:r>
    </w:p>
    <w:p>
      <w:pPr>
        <w:spacing w:after="120" w:before="0"/>
      </w:pPr>
      <w:r>
        <w:rPr>
          <w:rFonts w:ascii="Arial" w:cs="Arial" w:eastAsia="Arial" w:hAnsi="Arial"/>
          <w:i w:val="false"/>
          <w:iCs w:val="false"/>
          <w:color w:val="2D3748"/>
          <w:sz w:val="22"/>
          <w:szCs w:val="22"/>
        </w:rPr>
        <w:t xml:space="preserve">The new constraint — and the new opportunity — is judgment. Every focus area in the future structure requires more human judgment, more business context, more interpretive capability, and more willingness to work with ambiguous signals than the equivalent role today. The teams that recognise this early and begin hiring and developing toward it will be the ones that remain genuinely valuable to the business when the automation has done its work.</w:t>
      </w:r>
    </w:p>
    <w:p>
      <w:pPr>
        <w:spacing w:after="120" w:before="0"/>
      </w:pPr>
      <w:r>
        <w:rPr>
          <w:rFonts w:ascii="Arial" w:cs="Arial" w:eastAsia="Arial" w:hAnsi="Arial"/>
          <w:i w:val="false"/>
          <w:iCs w:val="false"/>
          <w:color w:val="2D3748"/>
          <w:sz w:val="22"/>
          <w:szCs w:val="22"/>
        </w:rPr>
        <w:t xml:space="preserve">The six future focus areas proposed in this white paper are not a destination — they are a direction. The specific shape of Learning Intelligence, AI &amp; Technology Orchestration, or Human-Centred Facilitation will look different in different organisations, at different levels of AI maturity, and at different points in the transition. What will not change is the underlying logic: that the value of a Learning professional in an AI-enabled world lies in the quality of their judgment, the depth of their business relationships, and the clarity of their thinking about what actually builds capability — not in how efficiently they can manage a process that a machine will soon manage better.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0E8" w:sz="6" w:space="1"/>
      </w:pBdr>
      <w:tabs>
        <w:tab w:val="right" w:pos="9026"/>
      </w:tabs>
      <w:spacing w:before="60"/>
    </w:pPr>
    <w:r>
      <w:rPr>
        <w:rFonts w:ascii="Arial" w:cs="Arial" w:eastAsia="Arial" w:hAnsi="Arial"/>
        <w:color w:val="4A5568"/>
        <w:sz w:val="18"/>
        <w:szCs w:val="18"/>
      </w:rPr>
      <w:t xml:space="preserve">Confidential — Internal Strategy</w:t>
    </w:r>
    <w:r>
      <w:rPr>
        <w:rFonts w:ascii="Arial" w:cs="Arial" w:eastAsia="Arial" w:hAnsi="Arial"/>
        <w:color w:val="4A5568"/>
        <w:sz w:val="18"/>
        <w:szCs w:val="18"/>
      </w:rPr>
      <w:t xml:space="preserve">	L&amp;D Function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0E8" w:sz="6" w:space="1"/>
      </w:pBdr>
      <w:tabs>
        <w:tab w:val="right" w:pos="9026"/>
      </w:tabs>
      <w:spacing w:after="0"/>
    </w:pPr>
    <w:r>
      <w:rPr>
        <w:rFonts w:ascii="Arial" w:cs="Arial" w:eastAsia="Arial" w:hAnsi="Arial"/>
        <w:color w:val="4A5568"/>
        <w:sz w:val="18"/>
        <w:szCs w:val="18"/>
      </w:rPr>
      <w:t xml:space="preserve">Future Focus Areas of Learning Teams  |  White Paper</w:t>
    </w:r>
    <w:r>
      <w:rPr>
        <w:rFonts w:ascii="Arial" w:cs="Arial" w:eastAsia="Arial" w:hAnsi="Arial"/>
        <w:color w:val="4A5568"/>
        <w:sz w:val="18"/>
        <w:szCs w:val="18"/>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D7A6E"/>
        <w:sz w:val="18"/>
        <w:szCs w:val="18"/>
      </w:rPr>
    </w:lvl>
    <w:lvl w:ilvl="1" w15:tentative="1">
      <w:start w:val="1"/>
      <w:numFmt w:val="bullet"/>
      <w:lvlText w:val="○"/>
      <w:lvlJc w:val="left"/>
      <w:pPr>
        <w:ind w:left="900" w:hanging="280"/>
      </w:pPr>
      <w:rPr>
        <w:color w:val="4A5568"/>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0D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2026-05-12T10:14:34.541Z</dcterms:created>
  <dcterms:modified xsi:type="dcterms:W3CDTF">2026-05-12T10:14:34.554Z</dcterms:modified>
</cp:coreProperties>
</file>

<file path=docProps/custom.xml><?xml version="1.0" encoding="utf-8"?>
<Properties xmlns="http://schemas.openxmlformats.org/officeDocument/2006/custom-properties" xmlns:vt="http://schemas.openxmlformats.org/officeDocument/2006/docPropsVTypes"/>
</file>