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6B58DB4" w:rsidP="66B58DB4" w:rsidRDefault="66B58DB4" w14:paraId="302808E4" w14:textId="5FBF514A">
      <w:pPr>
        <w:pStyle w:val="Title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B050"/>
          <w:sz w:val="40"/>
          <w:szCs w:val="40"/>
          <w:u w:val="single"/>
        </w:rPr>
      </w:pPr>
      <w:r w:rsidRPr="66B58DB4" w:rsidR="66B58DB4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B050"/>
          <w:sz w:val="40"/>
          <w:szCs w:val="40"/>
          <w:u w:val="single"/>
        </w:rPr>
        <w:t>Abstract:</w:t>
      </w:r>
    </w:p>
    <w:p w:rsidR="66B58DB4" w:rsidP="66B58DB4" w:rsidRDefault="66B58DB4" w14:paraId="5E9395F4" w14:textId="77F545E5">
      <w:pPr>
        <w:pStyle w:val="Normal"/>
      </w:pPr>
    </w:p>
    <w:p w:rsidR="66B58DB4" w:rsidP="66B58DB4" w:rsidRDefault="66B58DB4" w14:paraId="312FCC62" w14:textId="2DCBF9A6">
      <w:pPr>
        <w:pStyle w:val="Normal"/>
        <w:ind w:left="0"/>
        <w:jc w:val="both"/>
        <w:rPr>
          <w:rFonts w:ascii="Calibri" w:hAnsi="Calibri" w:eastAsia="Calibri" w:cs="Calibri"/>
          <w:sz w:val="28"/>
          <w:szCs w:val="28"/>
        </w:rPr>
      </w:pPr>
      <w:r w:rsidRPr="417962B0" w:rsidR="417962B0">
        <w:rPr>
          <w:rFonts w:ascii="Calibri" w:hAnsi="Calibri" w:eastAsia="Calibri" w:cs="Calibri"/>
          <w:sz w:val="28"/>
          <w:szCs w:val="28"/>
        </w:rPr>
        <w:t xml:space="preserve"> Given the similarity of ring molecules and their corresponding linear mRNAs, reconstructing circular RNA sequences (loops) from short RNA sequence reads has proven challenging. High-throughput full-length ring circuits cannot be detected using previous sequencing methods. Compared with previous methods, circular reverse transcription and size selection achieve 20-fold higher enrichment of RNA than total RNA. To reconstruct the sequence of looped molecules, we generated an algorithm called the siRNA identifier using long-read (CIRI-long) sequence data. A new form of intronic self-linked RNA. Our method uses long readouts from the nanopore to reconstruct full-length </w:t>
      </w:r>
      <w:r w:rsidRPr="417962B0" w:rsidR="417962B0">
        <w:rPr>
          <w:rFonts w:ascii="Calibri" w:hAnsi="Calibri" w:eastAsia="Calibri" w:cs="Calibri"/>
          <w:sz w:val="28"/>
          <w:szCs w:val="28"/>
        </w:rPr>
        <w:t>CircRNA</w:t>
      </w:r>
      <w:r w:rsidRPr="417962B0" w:rsidR="417962B0">
        <w:rPr>
          <w:rFonts w:ascii="Calibri" w:hAnsi="Calibri" w:eastAsia="Calibri" w:cs="Calibri"/>
          <w:sz w:val="28"/>
          <w:szCs w:val="28"/>
        </w:rPr>
        <w:t xml:space="preserve"> sequences.</w:t>
      </w:r>
    </w:p>
    <w:p w:rsidR="66B58DB4" w:rsidP="66B58DB4" w:rsidRDefault="66B58DB4" w14:paraId="75C46DD0" w14:textId="233137AE">
      <w:pPr>
        <w:pStyle w:val="Title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B050"/>
          <w:sz w:val="40"/>
          <w:szCs w:val="40"/>
          <w:u w:val="single"/>
        </w:rPr>
      </w:pPr>
      <w:r w:rsidRPr="66B58DB4" w:rsidR="66B58DB4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B050"/>
          <w:sz w:val="40"/>
          <w:szCs w:val="40"/>
          <w:u w:val="single"/>
        </w:rPr>
        <w:t>Introduction:</w:t>
      </w:r>
    </w:p>
    <w:p w:rsidR="66B58DB4" w:rsidP="66B58DB4" w:rsidRDefault="66B58DB4" w14:paraId="432DC9D2" w14:textId="4519C085">
      <w:pPr>
        <w:pStyle w:val="Normal"/>
        <w:bidi w:val="0"/>
      </w:pPr>
    </w:p>
    <w:p w:rsidR="66B58DB4" w:rsidP="417962B0" w:rsidRDefault="66B58DB4" w14:paraId="208562D6" w14:textId="5BCE6C89">
      <w:pPr>
        <w:pStyle w:val="Normal"/>
        <w:bidi w:val="0"/>
        <w:ind w:left="0"/>
        <w:jc w:val="both"/>
        <w:rPr>
          <w:rFonts w:ascii="Calibri" w:hAnsi="Calibri" w:eastAsia="Calibri" w:cs="Calibri"/>
          <w:sz w:val="28"/>
          <w:szCs w:val="28"/>
        </w:rPr>
      </w:pPr>
      <w:r w:rsidRPr="417962B0" w:rsidR="417962B0">
        <w:rPr>
          <w:rFonts w:ascii="Calibri" w:hAnsi="Calibri" w:eastAsia="Calibri" w:cs="Calibri"/>
          <w:noProof w:val="0"/>
          <w:sz w:val="28"/>
          <w:szCs w:val="28"/>
          <w:lang w:val="en"/>
        </w:rPr>
        <w:t xml:space="preserve">  </w:t>
      </w:r>
      <w:proofErr w:type="spellStart"/>
      <w:r w:rsidRPr="417962B0" w:rsidR="417962B0">
        <w:rPr>
          <w:rFonts w:ascii="Calibri" w:hAnsi="Calibri" w:eastAsia="Calibri" w:cs="Calibri"/>
          <w:noProof w:val="0"/>
          <w:sz w:val="28"/>
          <w:szCs w:val="28"/>
          <w:lang w:val="en"/>
        </w:rPr>
        <w:t>CircRNA</w:t>
      </w:r>
      <w:proofErr w:type="spellEnd"/>
      <w:r w:rsidRPr="417962B0" w:rsidR="417962B0">
        <w:rPr>
          <w:rFonts w:ascii="Calibri" w:hAnsi="Calibri" w:eastAsia="Calibri" w:cs="Calibri"/>
          <w:noProof w:val="0"/>
          <w:sz w:val="28"/>
          <w:szCs w:val="28"/>
          <w:lang w:val="en"/>
        </w:rPr>
        <w:t xml:space="preserve"> has been associated with disease progression and prediction.</w:t>
      </w:r>
      <w:r w:rsidRPr="417962B0" w:rsidR="417962B0">
        <w:rPr>
          <w:rFonts w:ascii="Calibri" w:hAnsi="Calibri" w:eastAsia="Calibri" w:cs="Calibri"/>
          <w:sz w:val="28"/>
          <w:szCs w:val="28"/>
        </w:rPr>
        <w:t>Circular RNAs (</w:t>
      </w:r>
      <w:proofErr w:type="spellStart"/>
      <w:r w:rsidRPr="417962B0" w:rsidR="417962B0">
        <w:rPr>
          <w:rFonts w:ascii="Calibri" w:hAnsi="Calibri" w:eastAsia="Calibri" w:cs="Calibri"/>
          <w:sz w:val="28"/>
          <w:szCs w:val="28"/>
        </w:rPr>
        <w:t>circRNAs</w:t>
      </w:r>
      <w:proofErr w:type="spellEnd"/>
      <w:r w:rsidRPr="417962B0" w:rsidR="417962B0">
        <w:rPr>
          <w:rFonts w:ascii="Calibri" w:hAnsi="Calibri" w:eastAsia="Calibri" w:cs="Calibri"/>
          <w:sz w:val="28"/>
          <w:szCs w:val="28"/>
        </w:rPr>
        <w:t xml:space="preserve">) are a broad class of RNAs with a covalent circular structure that regulate a variety of biological processes. The majority of </w:t>
      </w:r>
      <w:proofErr w:type="spellStart"/>
      <w:r w:rsidRPr="417962B0" w:rsidR="417962B0">
        <w:rPr>
          <w:rFonts w:ascii="Calibri" w:hAnsi="Calibri" w:eastAsia="Calibri" w:cs="Calibri"/>
          <w:sz w:val="28"/>
          <w:szCs w:val="28"/>
        </w:rPr>
        <w:t>circRNAs</w:t>
      </w:r>
      <w:proofErr w:type="spellEnd"/>
      <w:r w:rsidRPr="417962B0" w:rsidR="417962B0">
        <w:rPr>
          <w:rFonts w:ascii="Calibri" w:hAnsi="Calibri" w:eastAsia="Calibri" w:cs="Calibri"/>
          <w:sz w:val="28"/>
          <w:szCs w:val="28"/>
        </w:rPr>
        <w:t xml:space="preserve"> studied so far have been proposed to</w:t>
      </w:r>
    </w:p>
    <w:p w:rsidR="66B58DB4" w:rsidP="417962B0" w:rsidRDefault="66B58DB4" w14:paraId="0A9C9A68" w14:textId="32AF32D4">
      <w:pPr>
        <w:pStyle w:val="ListParagraph"/>
        <w:numPr>
          <w:ilvl w:val="0"/>
          <w:numId w:val="1"/>
        </w:numPr>
        <w:bidi w:val="0"/>
        <w:jc w:val="both"/>
        <w:rPr>
          <w:rFonts w:ascii="Calibri" w:hAnsi="Calibri" w:eastAsia="Calibri" w:cs="Calibri"/>
          <w:color w:val="FF0000"/>
          <w:sz w:val="28"/>
          <w:szCs w:val="28"/>
        </w:rPr>
      </w:pPr>
      <w:r w:rsidRPr="417962B0" w:rsidR="417962B0">
        <w:rPr>
          <w:rFonts w:ascii="Calibri" w:hAnsi="Calibri" w:eastAsia="Calibri" w:cs="Calibri"/>
          <w:sz w:val="28"/>
          <w:szCs w:val="28"/>
        </w:rPr>
        <w:t>ac</w:t>
      </w:r>
      <w:r w:rsidRPr="417962B0" w:rsidR="417962B0">
        <w:rPr>
          <w:rFonts w:ascii="Calibri" w:hAnsi="Calibri" w:eastAsia="Calibri" w:cs="Calibri"/>
          <w:sz w:val="28"/>
          <w:szCs w:val="28"/>
        </w:rPr>
        <w:t>t</w:t>
      </w:r>
      <w:r w:rsidRPr="417962B0" w:rsidR="417962B0">
        <w:rPr>
          <w:rFonts w:ascii="Calibri" w:hAnsi="Calibri" w:eastAsia="Calibri" w:cs="Calibri"/>
          <w:sz w:val="28"/>
          <w:szCs w:val="28"/>
        </w:rPr>
        <w:t xml:space="preserve"> as microRNA (miRNA) sponges</w:t>
      </w:r>
    </w:p>
    <w:p w:rsidR="66B58DB4" w:rsidP="417962B0" w:rsidRDefault="66B58DB4" w14:paraId="2E2BCCE4" w14:textId="6787768F">
      <w:pPr>
        <w:pStyle w:val="ListParagraph"/>
        <w:numPr>
          <w:ilvl w:val="0"/>
          <w:numId w:val="1"/>
        </w:numPr>
        <w:bidi w:val="0"/>
        <w:jc w:val="both"/>
        <w:rPr>
          <w:rFonts w:ascii="Calibri" w:hAnsi="Calibri" w:eastAsia="Calibri" w:cs="Calibri"/>
          <w:color w:val="FF0000"/>
          <w:sz w:val="28"/>
          <w:szCs w:val="28"/>
        </w:rPr>
      </w:pPr>
      <w:r w:rsidRPr="417962B0" w:rsidR="417962B0">
        <w:rPr>
          <w:rFonts w:ascii="Calibri" w:hAnsi="Calibri" w:eastAsia="Calibri" w:cs="Calibri"/>
          <w:sz w:val="28"/>
          <w:szCs w:val="28"/>
        </w:rPr>
        <w:t>act as RNA-binding protein (RBP) sponges</w:t>
      </w:r>
    </w:p>
    <w:p w:rsidR="66B58DB4" w:rsidP="417962B0" w:rsidRDefault="66B58DB4" w14:paraId="04B4EF81" w14:textId="74EBE2C8">
      <w:pPr>
        <w:pStyle w:val="ListParagraph"/>
        <w:numPr>
          <w:ilvl w:val="0"/>
          <w:numId w:val="1"/>
        </w:numPr>
        <w:bidi w:val="0"/>
        <w:jc w:val="both"/>
        <w:rPr>
          <w:rFonts w:ascii="Calibri" w:hAnsi="Calibri" w:eastAsia="Calibri" w:cs="Calibri"/>
          <w:color w:val="FF0000"/>
          <w:sz w:val="28"/>
          <w:szCs w:val="28"/>
        </w:rPr>
      </w:pPr>
      <w:r w:rsidRPr="417962B0" w:rsidR="417962B0">
        <w:rPr>
          <w:rFonts w:ascii="Calibri" w:hAnsi="Calibri" w:eastAsia="Calibri" w:cs="Calibri"/>
          <w:sz w:val="28"/>
          <w:szCs w:val="28"/>
        </w:rPr>
        <w:t>enhance protein function &amp; encode peptides</w:t>
      </w:r>
    </w:p>
    <w:p w:rsidR="66B58DB4" w:rsidP="417962B0" w:rsidRDefault="66B58DB4" w14:paraId="464EF0A7" w14:textId="30DB993E">
      <w:pPr>
        <w:pStyle w:val="ListParagraph"/>
        <w:numPr>
          <w:ilvl w:val="0"/>
          <w:numId w:val="1"/>
        </w:numPr>
        <w:bidi w:val="0"/>
        <w:jc w:val="both"/>
        <w:rPr>
          <w:rFonts w:ascii="Calibri" w:hAnsi="Calibri" w:eastAsia="Calibri" w:cs="Calibri"/>
          <w:color w:val="FF0000"/>
          <w:sz w:val="28"/>
          <w:szCs w:val="28"/>
        </w:rPr>
      </w:pPr>
      <w:r w:rsidRPr="417962B0" w:rsidR="417962B0">
        <w:rPr>
          <w:rFonts w:ascii="Calibri" w:hAnsi="Calibri" w:eastAsia="Calibri" w:cs="Calibri"/>
          <w:sz w:val="28"/>
          <w:szCs w:val="28"/>
        </w:rPr>
        <w:t xml:space="preserve"> form RNA duplex structures</w:t>
      </w:r>
    </w:p>
    <w:p w:rsidR="66B58DB4" w:rsidP="417962B0" w:rsidRDefault="66B58DB4" w14:paraId="5B0690F2" w14:textId="533D2551">
      <w:pPr>
        <w:pStyle w:val="Normal"/>
        <w:bidi w:val="0"/>
        <w:ind w:left="0"/>
        <w:jc w:val="both"/>
        <w:rPr>
          <w:rFonts w:ascii="Calibri" w:hAnsi="Calibri" w:eastAsia="Calibri" w:cs="Calibri"/>
          <w:noProof w:val="0"/>
          <w:sz w:val="28"/>
          <w:szCs w:val="28"/>
          <w:lang w:val="en"/>
        </w:rPr>
      </w:pPr>
      <w:r w:rsidRPr="417962B0" w:rsidR="417962B0">
        <w:rPr>
          <w:rFonts w:ascii="Calibri" w:hAnsi="Calibri" w:eastAsia="Calibri" w:cs="Calibri"/>
          <w:noProof w:val="0"/>
          <w:sz w:val="28"/>
          <w:szCs w:val="28"/>
          <w:lang w:val="en"/>
        </w:rPr>
        <w:t xml:space="preserve"> The majority of current methods depend on the alignment of Illumina short RNA sequence reads (RNA-seq), and their detection ability is severely restricted due to the Illumina sequence reads' short duration. so we found long-read sequencing techniques such as Oxford and nanopore. PacBio sequencing was recently used to assess the full-length loop sequences of reverse transcription products for polymerase chain reaction in a recent report (RT-PCR). Specific PCR primers, on the other hand, were designed to target a subset of candidate ring loops and were only able to detect full-length sequences of selected ring molecules one at a time. Using nanoscale sequencing technology, we present an experimental and computational method (CIRI-long) for mass profiling of full-length looped rings. In contrast to currently available approaches, to discover and recreate ring molecules, and to provide new insights into the diversity of ring molecules and their biosynthesis.</w:t>
      </w:r>
    </w:p>
    <w:sectPr>
      <w:pgSz w:w="11907" w:h="16839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484C4D"/>
    <w:rsid w:val="38484C4D"/>
    <w:rsid w:val="417962B0"/>
    <w:rsid w:val="66B58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4C4D"/>
  <w15:chartTrackingRefBased/>
  <w15:docId w15:val="{e4789689-e4dc-42e9-b575-55043157ee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5f3e86eef894f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2021-04-22T15:00:21.9183032Z</dcterms:created>
  <dcterms:modified xsi:type="dcterms:W3CDTF">2021-04-22T17:55:03.1773296Z</dcterms:modified>
  <dc:creator>Guest User</dc:creator>
  <lastModifiedBy>Guest User</lastModifiedBy>
</coreProperties>
</file>