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9D5F" w14:textId="77777777" w:rsidR="000A5950" w:rsidRDefault="005F4401" w:rsidP="007A04BF">
      <w:pPr>
        <w:spacing w:after="0" w:line="240" w:lineRule="auto"/>
        <w:jc w:val="both"/>
        <w:rPr>
          <w:rFonts w:ascii="Times New Roman" w:eastAsia="Times New Roman" w:hAnsi="Times New Roman" w:cs="Times New Roman"/>
          <w:b/>
          <w:color w:val="00B050"/>
          <w:spacing w:val="-10"/>
          <w:sz w:val="40"/>
          <w:u w:val="single"/>
        </w:rPr>
      </w:pPr>
      <w:r>
        <w:rPr>
          <w:rFonts w:ascii="Times New Roman" w:eastAsia="Times New Roman" w:hAnsi="Times New Roman" w:cs="Times New Roman"/>
          <w:b/>
          <w:color w:val="00B050"/>
          <w:spacing w:val="-10"/>
          <w:sz w:val="40"/>
          <w:u w:val="single"/>
        </w:rPr>
        <w:t>Abstract:</w:t>
      </w:r>
    </w:p>
    <w:p w14:paraId="5F351216" w14:textId="77777777" w:rsidR="000A5950" w:rsidRDefault="000A5950" w:rsidP="007A04BF">
      <w:pPr>
        <w:jc w:val="both"/>
        <w:rPr>
          <w:rFonts w:ascii="Calibri" w:eastAsia="Calibri" w:hAnsi="Calibri" w:cs="Calibri"/>
        </w:rPr>
      </w:pPr>
    </w:p>
    <w:p w14:paraId="1203C843" w14:textId="77777777" w:rsidR="000A5950" w:rsidRDefault="005F4401" w:rsidP="007A04BF">
      <w:pPr>
        <w:jc w:val="both"/>
        <w:rPr>
          <w:rFonts w:ascii="Calibri" w:eastAsia="Calibri" w:hAnsi="Calibri" w:cs="Calibri"/>
          <w:sz w:val="28"/>
        </w:rPr>
      </w:pPr>
      <w:r w:rsidRPr="00827A05">
        <w:rPr>
          <w:rFonts w:ascii="Calibri" w:eastAsia="Calibri" w:hAnsi="Calibri" w:cs="Calibri"/>
          <w:sz w:val="24"/>
          <w:szCs w:val="24"/>
        </w:rPr>
        <w:t xml:space="preserve"> Given the similarity of ring molecules and their corresponding linear mRNAs, reconstructing circular RNA sequences (loops) from short RNA sequence reads has proven challenging. High-throughput full-length ring circuits cannot be detected using previous sequencing methods. Compared with previous methods, circular reverse transcription and size selection achieve 20-fold higher enrichment of RNA than total RNA. To reconstruct the sequence of looped molecules, we generated an algorithm called the siRNA identifier using long-read (CIRI-long) sequence data. A new form of intronic self-linked RNA. Our method uses long readouts from the nanopore to reconstruct full-length </w:t>
      </w:r>
      <w:proofErr w:type="spellStart"/>
      <w:r w:rsidRPr="00827A05">
        <w:rPr>
          <w:rFonts w:ascii="Calibri" w:eastAsia="Calibri" w:hAnsi="Calibri" w:cs="Calibri"/>
          <w:sz w:val="24"/>
          <w:szCs w:val="24"/>
        </w:rPr>
        <w:t>CircRNA</w:t>
      </w:r>
      <w:proofErr w:type="spellEnd"/>
      <w:r w:rsidRPr="00827A05">
        <w:rPr>
          <w:rFonts w:ascii="Calibri" w:eastAsia="Calibri" w:hAnsi="Calibri" w:cs="Calibri"/>
          <w:sz w:val="24"/>
          <w:szCs w:val="24"/>
        </w:rPr>
        <w:t xml:space="preserve"> sequences</w:t>
      </w:r>
      <w:r>
        <w:rPr>
          <w:rFonts w:ascii="Calibri" w:eastAsia="Calibri" w:hAnsi="Calibri" w:cs="Calibri"/>
          <w:sz w:val="28"/>
        </w:rPr>
        <w:t>.</w:t>
      </w:r>
    </w:p>
    <w:p w14:paraId="362665E4" w14:textId="77777777" w:rsidR="000A5950" w:rsidRDefault="005F4401" w:rsidP="007A04BF">
      <w:pPr>
        <w:spacing w:after="0" w:line="240" w:lineRule="auto"/>
        <w:jc w:val="both"/>
        <w:rPr>
          <w:rFonts w:ascii="Times New Roman" w:eastAsia="Times New Roman" w:hAnsi="Times New Roman" w:cs="Times New Roman"/>
          <w:b/>
          <w:color w:val="00B050"/>
          <w:spacing w:val="-10"/>
          <w:sz w:val="40"/>
          <w:u w:val="single"/>
        </w:rPr>
      </w:pPr>
      <w:r>
        <w:rPr>
          <w:rFonts w:ascii="Times New Roman" w:eastAsia="Times New Roman" w:hAnsi="Times New Roman" w:cs="Times New Roman"/>
          <w:b/>
          <w:color w:val="00B050"/>
          <w:spacing w:val="-10"/>
          <w:sz w:val="40"/>
          <w:u w:val="single"/>
        </w:rPr>
        <w:t>Introduction:</w:t>
      </w:r>
    </w:p>
    <w:p w14:paraId="7A1FB477" w14:textId="77777777" w:rsidR="000A5950" w:rsidRDefault="000A5950" w:rsidP="007A04BF">
      <w:pPr>
        <w:jc w:val="both"/>
        <w:rPr>
          <w:rFonts w:ascii="Calibri" w:eastAsia="Calibri" w:hAnsi="Calibri" w:cs="Calibri"/>
        </w:rPr>
      </w:pPr>
    </w:p>
    <w:p w14:paraId="2D5B34DD" w14:textId="77777777" w:rsidR="000A5950" w:rsidRPr="00BE5CBD" w:rsidRDefault="005F4401" w:rsidP="007A04BF">
      <w:pPr>
        <w:jc w:val="both"/>
        <w:rPr>
          <w:rFonts w:ascii="Calibri" w:eastAsia="Calibri" w:hAnsi="Calibri" w:cs="Calibri"/>
          <w:sz w:val="24"/>
          <w:szCs w:val="24"/>
        </w:rPr>
      </w:pPr>
      <w:r>
        <w:rPr>
          <w:rFonts w:ascii="Calibri" w:eastAsia="Calibri" w:hAnsi="Calibri" w:cs="Calibri"/>
          <w:sz w:val="28"/>
        </w:rPr>
        <w:t xml:space="preserve">  </w:t>
      </w:r>
      <w:proofErr w:type="spellStart"/>
      <w:r w:rsidRPr="00BE5CBD">
        <w:rPr>
          <w:rFonts w:ascii="Calibri" w:eastAsia="Calibri" w:hAnsi="Calibri" w:cs="Calibri"/>
          <w:sz w:val="24"/>
          <w:szCs w:val="24"/>
        </w:rPr>
        <w:t>CircRNA</w:t>
      </w:r>
      <w:proofErr w:type="spellEnd"/>
      <w:r w:rsidRPr="00BE5CBD">
        <w:rPr>
          <w:rFonts w:ascii="Calibri" w:eastAsia="Calibri" w:hAnsi="Calibri" w:cs="Calibri"/>
          <w:sz w:val="24"/>
          <w:szCs w:val="24"/>
        </w:rPr>
        <w:t xml:space="preserve"> has been associated with disease progression and </w:t>
      </w:r>
      <w:proofErr w:type="spellStart"/>
      <w:proofErr w:type="gramStart"/>
      <w:r w:rsidRPr="00BE5CBD">
        <w:rPr>
          <w:rFonts w:ascii="Calibri" w:eastAsia="Calibri" w:hAnsi="Calibri" w:cs="Calibri"/>
          <w:sz w:val="24"/>
          <w:szCs w:val="24"/>
        </w:rPr>
        <w:t>prediction.Circular</w:t>
      </w:r>
      <w:proofErr w:type="spellEnd"/>
      <w:proofErr w:type="gramEnd"/>
      <w:r w:rsidRPr="00BE5CBD">
        <w:rPr>
          <w:rFonts w:ascii="Calibri" w:eastAsia="Calibri" w:hAnsi="Calibri" w:cs="Calibri"/>
          <w:sz w:val="24"/>
          <w:szCs w:val="24"/>
        </w:rPr>
        <w:t xml:space="preserve"> RNAs (</w:t>
      </w:r>
      <w:proofErr w:type="spellStart"/>
      <w:r w:rsidRPr="00BE5CBD">
        <w:rPr>
          <w:rFonts w:ascii="Calibri" w:eastAsia="Calibri" w:hAnsi="Calibri" w:cs="Calibri"/>
          <w:sz w:val="24"/>
          <w:szCs w:val="24"/>
        </w:rPr>
        <w:t>circRNAs</w:t>
      </w:r>
      <w:proofErr w:type="spellEnd"/>
      <w:r w:rsidRPr="00BE5CBD">
        <w:rPr>
          <w:rFonts w:ascii="Calibri" w:eastAsia="Calibri" w:hAnsi="Calibri" w:cs="Calibri"/>
          <w:sz w:val="24"/>
          <w:szCs w:val="24"/>
        </w:rPr>
        <w:t xml:space="preserve">) are a broad class of RNAs with a covalent circular structure that regulate a variety of biological processes. The majority of </w:t>
      </w:r>
      <w:proofErr w:type="spellStart"/>
      <w:r w:rsidRPr="00BE5CBD">
        <w:rPr>
          <w:rFonts w:ascii="Calibri" w:eastAsia="Calibri" w:hAnsi="Calibri" w:cs="Calibri"/>
          <w:sz w:val="24"/>
          <w:szCs w:val="24"/>
        </w:rPr>
        <w:t>circRNAs</w:t>
      </w:r>
      <w:proofErr w:type="spellEnd"/>
      <w:r w:rsidRPr="00BE5CBD">
        <w:rPr>
          <w:rFonts w:ascii="Calibri" w:eastAsia="Calibri" w:hAnsi="Calibri" w:cs="Calibri"/>
          <w:sz w:val="24"/>
          <w:szCs w:val="24"/>
        </w:rPr>
        <w:t xml:space="preserve"> studied so far have been proposed to</w:t>
      </w:r>
    </w:p>
    <w:p w14:paraId="1F07D10A" w14:textId="77777777" w:rsidR="000A5950" w:rsidRPr="00BE5CBD" w:rsidRDefault="005F4401" w:rsidP="007A04BF">
      <w:pPr>
        <w:numPr>
          <w:ilvl w:val="0"/>
          <w:numId w:val="1"/>
        </w:numPr>
        <w:ind w:left="720" w:hanging="360"/>
        <w:jc w:val="both"/>
        <w:rPr>
          <w:rFonts w:ascii="Calibri" w:eastAsia="Calibri" w:hAnsi="Calibri" w:cs="Calibri"/>
          <w:color w:val="FF0000"/>
          <w:sz w:val="24"/>
          <w:szCs w:val="24"/>
        </w:rPr>
      </w:pPr>
      <w:r w:rsidRPr="00BE5CBD">
        <w:rPr>
          <w:rFonts w:ascii="Calibri" w:eastAsia="Calibri" w:hAnsi="Calibri" w:cs="Calibri"/>
          <w:sz w:val="24"/>
          <w:szCs w:val="24"/>
        </w:rPr>
        <w:t>act as microRNA (miRNA) sponges</w:t>
      </w:r>
    </w:p>
    <w:p w14:paraId="09EB1C71" w14:textId="77777777" w:rsidR="000A5950" w:rsidRPr="00BE5CBD" w:rsidRDefault="005F4401" w:rsidP="007A04BF">
      <w:pPr>
        <w:numPr>
          <w:ilvl w:val="0"/>
          <w:numId w:val="1"/>
        </w:numPr>
        <w:ind w:left="720" w:hanging="360"/>
        <w:jc w:val="both"/>
        <w:rPr>
          <w:rFonts w:ascii="Calibri" w:eastAsia="Calibri" w:hAnsi="Calibri" w:cs="Calibri"/>
          <w:color w:val="FF0000"/>
          <w:sz w:val="24"/>
          <w:szCs w:val="24"/>
        </w:rPr>
      </w:pPr>
      <w:r w:rsidRPr="00BE5CBD">
        <w:rPr>
          <w:rFonts w:ascii="Calibri" w:eastAsia="Calibri" w:hAnsi="Calibri" w:cs="Calibri"/>
          <w:sz w:val="24"/>
          <w:szCs w:val="24"/>
        </w:rPr>
        <w:t>act as RNA-binding protein (RBP) sponges</w:t>
      </w:r>
    </w:p>
    <w:p w14:paraId="1BAECA2F" w14:textId="77777777" w:rsidR="000A5950" w:rsidRPr="00BE5CBD" w:rsidRDefault="005F4401" w:rsidP="007A04BF">
      <w:pPr>
        <w:numPr>
          <w:ilvl w:val="0"/>
          <w:numId w:val="1"/>
        </w:numPr>
        <w:ind w:left="720" w:hanging="360"/>
        <w:jc w:val="both"/>
        <w:rPr>
          <w:rFonts w:ascii="Calibri" w:eastAsia="Calibri" w:hAnsi="Calibri" w:cs="Calibri"/>
          <w:color w:val="FF0000"/>
          <w:sz w:val="24"/>
          <w:szCs w:val="24"/>
        </w:rPr>
      </w:pPr>
      <w:r w:rsidRPr="00BE5CBD">
        <w:rPr>
          <w:rFonts w:ascii="Calibri" w:eastAsia="Calibri" w:hAnsi="Calibri" w:cs="Calibri"/>
          <w:sz w:val="24"/>
          <w:szCs w:val="24"/>
        </w:rPr>
        <w:t xml:space="preserve">enhance protein function &amp; encode </w:t>
      </w:r>
      <w:proofErr w:type="gramStart"/>
      <w:r w:rsidRPr="00BE5CBD">
        <w:rPr>
          <w:rFonts w:ascii="Calibri" w:eastAsia="Calibri" w:hAnsi="Calibri" w:cs="Calibri"/>
          <w:sz w:val="24"/>
          <w:szCs w:val="24"/>
        </w:rPr>
        <w:t>peptides</w:t>
      </w:r>
      <w:proofErr w:type="gramEnd"/>
    </w:p>
    <w:p w14:paraId="1B8F2A38" w14:textId="77777777" w:rsidR="000A5950" w:rsidRPr="00BE5CBD" w:rsidRDefault="005F4401" w:rsidP="007A04BF">
      <w:pPr>
        <w:numPr>
          <w:ilvl w:val="0"/>
          <w:numId w:val="1"/>
        </w:numPr>
        <w:ind w:left="720" w:hanging="360"/>
        <w:jc w:val="both"/>
        <w:rPr>
          <w:rFonts w:ascii="Calibri" w:eastAsia="Calibri" w:hAnsi="Calibri" w:cs="Calibri"/>
          <w:color w:val="FF0000"/>
          <w:sz w:val="24"/>
          <w:szCs w:val="24"/>
        </w:rPr>
      </w:pPr>
      <w:r w:rsidRPr="00BE5CBD">
        <w:rPr>
          <w:rFonts w:ascii="Calibri" w:eastAsia="Calibri" w:hAnsi="Calibri" w:cs="Calibri"/>
          <w:sz w:val="24"/>
          <w:szCs w:val="24"/>
        </w:rPr>
        <w:t xml:space="preserve"> form RNA duplex structures</w:t>
      </w:r>
    </w:p>
    <w:p w14:paraId="5E536236" w14:textId="77777777" w:rsidR="000A5950" w:rsidRPr="00BE5CBD" w:rsidRDefault="005F4401" w:rsidP="007A04BF">
      <w:pPr>
        <w:jc w:val="both"/>
        <w:rPr>
          <w:rFonts w:ascii="Calibri" w:eastAsia="Calibri" w:hAnsi="Calibri" w:cs="Calibri"/>
          <w:sz w:val="24"/>
          <w:szCs w:val="24"/>
        </w:rPr>
      </w:pPr>
      <w:r>
        <w:rPr>
          <w:rFonts w:ascii="Calibri" w:eastAsia="Calibri" w:hAnsi="Calibri" w:cs="Calibri"/>
          <w:sz w:val="28"/>
        </w:rPr>
        <w:t xml:space="preserve"> </w:t>
      </w:r>
      <w:proofErr w:type="gramStart"/>
      <w:r w:rsidRPr="00BE5CBD">
        <w:rPr>
          <w:rFonts w:ascii="Calibri" w:eastAsia="Calibri" w:hAnsi="Calibri" w:cs="Calibri"/>
          <w:sz w:val="24"/>
          <w:szCs w:val="24"/>
        </w:rPr>
        <w:t>The majority of</w:t>
      </w:r>
      <w:proofErr w:type="gramEnd"/>
      <w:r w:rsidRPr="00BE5CBD">
        <w:rPr>
          <w:rFonts w:ascii="Calibri" w:eastAsia="Calibri" w:hAnsi="Calibri" w:cs="Calibri"/>
          <w:sz w:val="24"/>
          <w:szCs w:val="24"/>
        </w:rPr>
        <w:t xml:space="preserve"> current methods depend on the alignment of Illumina short RNA sequence reads (RNA-seq), and their detection ability is severely restricted due to the Illumina sequence reads' short duration. </w:t>
      </w:r>
      <w:proofErr w:type="gramStart"/>
      <w:r w:rsidRPr="00BE5CBD">
        <w:rPr>
          <w:rFonts w:ascii="Calibri" w:eastAsia="Calibri" w:hAnsi="Calibri" w:cs="Calibri"/>
          <w:sz w:val="24"/>
          <w:szCs w:val="24"/>
        </w:rPr>
        <w:t>so</w:t>
      </w:r>
      <w:proofErr w:type="gramEnd"/>
      <w:r w:rsidRPr="00BE5CBD">
        <w:rPr>
          <w:rFonts w:ascii="Calibri" w:eastAsia="Calibri" w:hAnsi="Calibri" w:cs="Calibri"/>
          <w:sz w:val="24"/>
          <w:szCs w:val="24"/>
        </w:rPr>
        <w:t xml:space="preserve"> we found long-read sequencing techniques such as Oxford and nanopore. PacBio sequencing was recently used to assess the full-length loop sequences of reverse transcription products for polymerase chain reaction in a recent report (RT-PCR). Specific PCR primers, on the other hand, were designed to target a subset of candidate ring loops and were only able to detect full-length sequences of selected ring molecules one at a time. Using nanoscale sequencing technology, we present an experimental and computational method (CIRI-long) for mass profiling of full-length looped rings. In contrast to currently available approaches, to discover and recreate ring molecules, and to provide new insights into the diversity of ring molecules and their biosynthesis.</w:t>
      </w:r>
    </w:p>
    <w:p w14:paraId="3FEB907A" w14:textId="77777777" w:rsidR="000A5950" w:rsidRDefault="005F4401" w:rsidP="007A04BF">
      <w:pPr>
        <w:jc w:val="both"/>
        <w:rPr>
          <w:rFonts w:ascii="Calibri" w:eastAsia="Calibri" w:hAnsi="Calibri" w:cs="Calibri"/>
          <w:sz w:val="28"/>
        </w:rPr>
      </w:pPr>
      <w:r>
        <w:rPr>
          <w:rFonts w:ascii="Times New Roman" w:eastAsia="Times New Roman" w:hAnsi="Times New Roman" w:cs="Times New Roman"/>
          <w:b/>
          <w:color w:val="00B050"/>
          <w:spacing w:val="-10"/>
          <w:sz w:val="40"/>
          <w:u w:val="single"/>
        </w:rPr>
        <w:t>Related Work:</w:t>
      </w:r>
    </w:p>
    <w:p w14:paraId="1AA31991" w14:textId="0CE3A4B9" w:rsidR="002A19DB" w:rsidRPr="00BE5CBD" w:rsidRDefault="005F4401" w:rsidP="007A04BF">
      <w:pPr>
        <w:jc w:val="both"/>
        <w:rPr>
          <w:rFonts w:ascii="Calibri" w:eastAsia="Calibri" w:hAnsi="Calibri" w:cs="Calibri"/>
          <w:sz w:val="24"/>
          <w:szCs w:val="24"/>
        </w:rPr>
      </w:pPr>
      <w:r w:rsidRPr="00BE5CBD">
        <w:rPr>
          <w:rFonts w:ascii="Calibri" w:eastAsia="Calibri" w:hAnsi="Calibri" w:cs="Calibri"/>
          <w:sz w:val="24"/>
          <w:szCs w:val="24"/>
        </w:rPr>
        <w:t xml:space="preserve">Using nanopore sequencing, we present an experimental and computational protocol for detecting full-length </w:t>
      </w:r>
      <w:proofErr w:type="spellStart"/>
      <w:r w:rsidRPr="00BE5CBD">
        <w:rPr>
          <w:rFonts w:ascii="Calibri" w:eastAsia="Calibri" w:hAnsi="Calibri" w:cs="Calibri"/>
          <w:sz w:val="24"/>
          <w:szCs w:val="24"/>
        </w:rPr>
        <w:t>circRNA</w:t>
      </w:r>
      <w:proofErr w:type="spellEnd"/>
      <w:r w:rsidRPr="00BE5CBD">
        <w:rPr>
          <w:rFonts w:ascii="Calibri" w:eastAsia="Calibri" w:hAnsi="Calibri" w:cs="Calibri"/>
          <w:sz w:val="24"/>
          <w:szCs w:val="24"/>
        </w:rPr>
        <w:t xml:space="preserve"> isoforms. To provide clear evidence of the circular structure of the transcripts, several rounds of circular amplification of the same </w:t>
      </w:r>
      <w:proofErr w:type="spellStart"/>
      <w:r w:rsidRPr="00BE5CBD">
        <w:rPr>
          <w:rFonts w:ascii="Calibri" w:eastAsia="Calibri" w:hAnsi="Calibri" w:cs="Calibri"/>
          <w:sz w:val="24"/>
          <w:szCs w:val="24"/>
        </w:rPr>
        <w:t>circRNA</w:t>
      </w:r>
      <w:proofErr w:type="spellEnd"/>
      <w:r w:rsidRPr="00BE5CBD">
        <w:rPr>
          <w:rFonts w:ascii="Calibri" w:eastAsia="Calibri" w:hAnsi="Calibri" w:cs="Calibri"/>
          <w:sz w:val="24"/>
          <w:szCs w:val="24"/>
        </w:rPr>
        <w:t xml:space="preserve"> molecule are reverse </w:t>
      </w:r>
      <w:r w:rsidRPr="00BE5CBD">
        <w:rPr>
          <w:rFonts w:ascii="Calibri" w:eastAsia="Calibri" w:hAnsi="Calibri" w:cs="Calibri"/>
          <w:sz w:val="24"/>
          <w:szCs w:val="24"/>
        </w:rPr>
        <w:lastRenderedPageBreak/>
        <w:t xml:space="preserve">transcribed. CIRI-long has been thoroughly tested using simulated datasets and Illumina RNA-seq data. The reliability of our method in decoding the complex array of circular transcripts and splicing events that have not been studied previously has been demonstrated using virtual datasets, Illumina RNA-seq data, and experimental validation. It was discovered that the selection of section length is the main factor affecting RNA detection efficiency, When opposed to Illumina-based traditional sequencing, choosing the right length </w:t>
      </w:r>
      <w:proofErr w:type="gramStart"/>
      <w:r w:rsidRPr="00BE5CBD">
        <w:rPr>
          <w:rFonts w:ascii="Calibri" w:eastAsia="Calibri" w:hAnsi="Calibri" w:cs="Calibri"/>
          <w:sz w:val="24"/>
          <w:szCs w:val="24"/>
        </w:rPr>
        <w:t>( 1</w:t>
      </w:r>
      <w:proofErr w:type="gramEnd"/>
      <w:r w:rsidRPr="00BE5CBD">
        <w:rPr>
          <w:rFonts w:ascii="Calibri" w:eastAsia="Calibri" w:hAnsi="Calibri" w:cs="Calibri"/>
          <w:sz w:val="24"/>
          <w:szCs w:val="24"/>
        </w:rPr>
        <w:t xml:space="preserve"> kb) and </w:t>
      </w:r>
      <w:proofErr w:type="spellStart"/>
      <w:r w:rsidRPr="00BE5CBD">
        <w:rPr>
          <w:rFonts w:ascii="Calibri" w:eastAsia="Calibri" w:hAnsi="Calibri" w:cs="Calibri"/>
          <w:sz w:val="24"/>
          <w:szCs w:val="24"/>
        </w:rPr>
        <w:t>optimising</w:t>
      </w:r>
      <w:proofErr w:type="spellEnd"/>
      <w:r w:rsidRPr="00BE5CBD">
        <w:rPr>
          <w:rFonts w:ascii="Calibri" w:eastAsia="Calibri" w:hAnsi="Calibri" w:cs="Calibri"/>
          <w:sz w:val="24"/>
          <w:szCs w:val="24"/>
        </w:rPr>
        <w:t xml:space="preserve"> other processing conditions resulted in a 20-fold rise in circular readings. Many species of vertebrates have been shown to have an excessive amount of ring particles, according to recent research. </w:t>
      </w:r>
      <w:proofErr w:type="spellStart"/>
      <w:r w:rsidRPr="00BE5CBD">
        <w:rPr>
          <w:rFonts w:ascii="Calibri" w:eastAsia="Calibri" w:hAnsi="Calibri" w:cs="Calibri"/>
          <w:sz w:val="24"/>
          <w:szCs w:val="24"/>
        </w:rPr>
        <w:t>CircAtlas</w:t>
      </w:r>
      <w:proofErr w:type="spellEnd"/>
      <w:r w:rsidRPr="00BE5CBD">
        <w:rPr>
          <w:rFonts w:ascii="Calibri" w:eastAsia="Calibri" w:hAnsi="Calibri" w:cs="Calibri"/>
          <w:sz w:val="24"/>
          <w:szCs w:val="24"/>
        </w:rPr>
        <w:t xml:space="preserve">, for example, gathered a total of 252,811 electrical circuits found in mice, while the GENCODE project only explained 138,835 versions. Check the diversity of the fields specified in the specified fields; unlike other existing methods that extend through BSJs, this approach checks the diversity of the fields specified in the specified fields. This method demonstrated that, each cloned cDNA molecule contained multiple copies of the corresponding full-length </w:t>
      </w:r>
      <w:proofErr w:type="spellStart"/>
      <w:r w:rsidRPr="00BE5CBD">
        <w:rPr>
          <w:rFonts w:ascii="Calibri" w:eastAsia="Calibri" w:hAnsi="Calibri" w:cs="Calibri"/>
          <w:sz w:val="24"/>
          <w:szCs w:val="24"/>
        </w:rPr>
        <w:t>CircRNA</w:t>
      </w:r>
      <w:proofErr w:type="spellEnd"/>
      <w:r w:rsidRPr="00BE5CBD">
        <w:rPr>
          <w:rFonts w:ascii="Calibri" w:eastAsia="Calibri" w:hAnsi="Calibri" w:cs="Calibri"/>
          <w:sz w:val="24"/>
          <w:szCs w:val="24"/>
        </w:rPr>
        <w:t xml:space="preserve"> sequence, and each long reading provided direct evidence of the existence and sequence of </w:t>
      </w:r>
      <w:proofErr w:type="spellStart"/>
      <w:r w:rsidRPr="00BE5CBD">
        <w:rPr>
          <w:rFonts w:ascii="Calibri" w:eastAsia="Calibri" w:hAnsi="Calibri" w:cs="Calibri"/>
          <w:sz w:val="24"/>
          <w:szCs w:val="24"/>
        </w:rPr>
        <w:t>CircRNA</w:t>
      </w:r>
      <w:proofErr w:type="spellEnd"/>
      <w:r w:rsidRPr="00BE5CBD">
        <w:rPr>
          <w:rFonts w:ascii="Calibri" w:eastAsia="Calibri" w:hAnsi="Calibri" w:cs="Calibri"/>
          <w:sz w:val="24"/>
          <w:szCs w:val="24"/>
        </w:rPr>
        <w:t xml:space="preserve">. CIRI-long can accurately quantify additional alternate generalization and alternative splicing events and provide a more than five-fold increase in alternate generalization events compared to results obtained with Illumina RNA-seq. In addition, nanopore sequence libraries have detected multiple </w:t>
      </w:r>
      <w:proofErr w:type="spellStart"/>
      <w:r w:rsidRPr="00BE5CBD">
        <w:rPr>
          <w:rFonts w:ascii="Calibri" w:eastAsia="Calibri" w:hAnsi="Calibri" w:cs="Calibri"/>
          <w:sz w:val="24"/>
          <w:szCs w:val="24"/>
        </w:rPr>
        <w:t>cirexons</w:t>
      </w:r>
      <w:proofErr w:type="spellEnd"/>
      <w:r w:rsidRPr="00BE5CBD">
        <w:rPr>
          <w:rFonts w:ascii="Calibri" w:eastAsia="Calibri" w:hAnsi="Calibri" w:cs="Calibri"/>
          <w:sz w:val="24"/>
          <w:szCs w:val="24"/>
        </w:rPr>
        <w:t xml:space="preserve"> and AS events Compared to those detected with Illumina data</w:t>
      </w:r>
      <w:r w:rsidR="002A19DB" w:rsidRPr="00BE5CBD">
        <w:rPr>
          <w:rFonts w:ascii="Calibri" w:eastAsia="Calibri" w:hAnsi="Calibri" w:cs="Calibri"/>
          <w:sz w:val="24"/>
          <w:szCs w:val="24"/>
        </w:rPr>
        <w:t>.</w:t>
      </w:r>
    </w:p>
    <w:p w14:paraId="76BF2639" w14:textId="7763FBDD" w:rsidR="002A19DB" w:rsidRDefault="002A19DB" w:rsidP="007A04BF">
      <w:pPr>
        <w:jc w:val="both"/>
        <w:rPr>
          <w:rFonts w:ascii="Segoe UI" w:eastAsia="Times New Roman" w:hAnsi="Segoe UI" w:cs="Segoe UI"/>
          <w:color w:val="222222"/>
          <w:sz w:val="27"/>
          <w:szCs w:val="27"/>
        </w:rPr>
      </w:pPr>
      <w:r w:rsidRPr="002A19DB">
        <w:rPr>
          <w:rFonts w:ascii="Times New Roman" w:eastAsia="Times New Roman" w:hAnsi="Times New Roman" w:cs="Times New Roman"/>
          <w:b/>
          <w:color w:val="00B050"/>
          <w:spacing w:val="-10"/>
          <w:sz w:val="40"/>
          <w:u w:val="single"/>
        </w:rPr>
        <w:t>Results:</w:t>
      </w:r>
    </w:p>
    <w:p w14:paraId="63F1ED65" w14:textId="57383CA3" w:rsidR="002A19DB" w:rsidRPr="00951C44" w:rsidRDefault="002A19DB" w:rsidP="007A04BF">
      <w:pPr>
        <w:pStyle w:val="Heading3"/>
        <w:shd w:val="clear" w:color="auto" w:fill="FFFFFF"/>
        <w:spacing w:before="0" w:beforeAutospacing="0" w:after="120" w:afterAutospacing="0"/>
        <w:jc w:val="both"/>
        <w:rPr>
          <w:rFonts w:ascii="Calibri" w:eastAsia="Calibri" w:hAnsi="Calibri" w:cs="Calibri"/>
          <w:b w:val="0"/>
          <w:bCs w:val="0"/>
          <w:color w:val="806000" w:themeColor="accent4" w:themeShade="80"/>
          <w:sz w:val="28"/>
          <w:szCs w:val="22"/>
          <w:u w:val="single"/>
        </w:rPr>
      </w:pPr>
      <w:r w:rsidRPr="00951C44">
        <w:rPr>
          <w:rFonts w:ascii="Calibri" w:eastAsia="Calibri" w:hAnsi="Calibri" w:cs="Calibri"/>
          <w:b w:val="0"/>
          <w:bCs w:val="0"/>
          <w:color w:val="806000" w:themeColor="accent4" w:themeShade="80"/>
          <w:sz w:val="28"/>
          <w:szCs w:val="22"/>
          <w:u w:val="single"/>
        </w:rPr>
        <w:t xml:space="preserve">A modified nanopore sequencing protocol for efficient identification of </w:t>
      </w:r>
      <w:proofErr w:type="spellStart"/>
      <w:r w:rsidRPr="00951C44">
        <w:rPr>
          <w:rFonts w:ascii="Calibri" w:eastAsia="Calibri" w:hAnsi="Calibri" w:cs="Calibri"/>
          <w:b w:val="0"/>
          <w:bCs w:val="0"/>
          <w:color w:val="806000" w:themeColor="accent4" w:themeShade="80"/>
          <w:sz w:val="28"/>
          <w:szCs w:val="22"/>
          <w:u w:val="single"/>
        </w:rPr>
        <w:t>circRNAs</w:t>
      </w:r>
      <w:proofErr w:type="spellEnd"/>
      <w:r w:rsidRPr="00951C44">
        <w:rPr>
          <w:rFonts w:ascii="Calibri" w:eastAsia="Calibri" w:hAnsi="Calibri" w:cs="Calibri"/>
          <w:b w:val="0"/>
          <w:bCs w:val="0"/>
          <w:color w:val="806000" w:themeColor="accent4" w:themeShade="80"/>
          <w:sz w:val="28"/>
          <w:szCs w:val="22"/>
          <w:u w:val="single"/>
        </w:rPr>
        <w:t>:</w:t>
      </w:r>
    </w:p>
    <w:p w14:paraId="64E8DACC" w14:textId="0FE10844" w:rsidR="000A5950" w:rsidRDefault="007273CE" w:rsidP="007A04BF">
      <w:pPr>
        <w:pStyle w:val="Heading3"/>
        <w:shd w:val="clear" w:color="auto" w:fill="FFFFFF"/>
        <w:spacing w:before="0" w:beforeAutospacing="0" w:after="120" w:afterAutospacing="0"/>
        <w:jc w:val="both"/>
        <w:rPr>
          <w:rFonts w:ascii="Calibri" w:eastAsia="Calibri" w:hAnsi="Calibri" w:cs="Calibri"/>
          <w:b w:val="0"/>
          <w:bCs w:val="0"/>
          <w:sz w:val="24"/>
          <w:szCs w:val="24"/>
        </w:rPr>
      </w:pPr>
      <w:r w:rsidRPr="00BE5CBD">
        <w:rPr>
          <w:rFonts w:ascii="Calibri" w:eastAsia="Calibri" w:hAnsi="Calibri" w:cs="Calibri"/>
          <w:b w:val="0"/>
          <w:bCs w:val="0"/>
          <w:sz w:val="24"/>
          <w:szCs w:val="24"/>
        </w:rPr>
        <w:t xml:space="preserve">To efficiently enrich </w:t>
      </w:r>
      <w:proofErr w:type="spellStart"/>
      <w:r w:rsidRPr="00BE5CBD">
        <w:rPr>
          <w:rFonts w:ascii="Calibri" w:eastAsia="Calibri" w:hAnsi="Calibri" w:cs="Calibri"/>
          <w:b w:val="0"/>
          <w:bCs w:val="0"/>
          <w:sz w:val="24"/>
          <w:szCs w:val="24"/>
        </w:rPr>
        <w:t>circRNAs</w:t>
      </w:r>
      <w:proofErr w:type="spellEnd"/>
      <w:r w:rsidRPr="00BE5CBD">
        <w:rPr>
          <w:rFonts w:ascii="Calibri" w:eastAsia="Calibri" w:hAnsi="Calibri" w:cs="Calibri"/>
          <w:b w:val="0"/>
          <w:bCs w:val="0"/>
          <w:sz w:val="24"/>
          <w:szCs w:val="24"/>
        </w:rPr>
        <w:t xml:space="preserve">, a customized approach for RNA-seq library preparation was modified .In brief, ribosomal RNA (rRNA) was removed from extracted total </w:t>
      </w:r>
      <w:proofErr w:type="spellStart"/>
      <w:r w:rsidRPr="00BE5CBD">
        <w:rPr>
          <w:rFonts w:ascii="Calibri" w:eastAsia="Calibri" w:hAnsi="Calibri" w:cs="Calibri"/>
          <w:b w:val="0"/>
          <w:bCs w:val="0"/>
          <w:sz w:val="24"/>
          <w:szCs w:val="24"/>
        </w:rPr>
        <w:t>RNA.Then</w:t>
      </w:r>
      <w:proofErr w:type="spellEnd"/>
      <w:r w:rsidRPr="00BE5CBD">
        <w:rPr>
          <w:rFonts w:ascii="Calibri" w:eastAsia="Calibri" w:hAnsi="Calibri" w:cs="Calibri"/>
          <w:b w:val="0"/>
          <w:bCs w:val="0"/>
          <w:sz w:val="24"/>
          <w:szCs w:val="24"/>
        </w:rPr>
        <w:t xml:space="preserve"> additional poly(A)-tailing treatment was applied before RNase R .then Afterwards, reverse transcription was performed with random primers and </w:t>
      </w:r>
      <w:proofErr w:type="spellStart"/>
      <w:r w:rsidRPr="00BE5CBD">
        <w:rPr>
          <w:rFonts w:ascii="Calibri" w:eastAsia="Calibri" w:hAnsi="Calibri" w:cs="Calibri"/>
          <w:b w:val="0"/>
          <w:bCs w:val="0"/>
          <w:sz w:val="24"/>
          <w:szCs w:val="24"/>
        </w:rPr>
        <w:t>SMARTer</w:t>
      </w:r>
      <w:proofErr w:type="spellEnd"/>
      <w:r w:rsidRPr="00BE5CBD">
        <w:rPr>
          <w:rFonts w:ascii="Calibri" w:eastAsia="Calibri" w:hAnsi="Calibri" w:cs="Calibri"/>
          <w:b w:val="0"/>
          <w:bCs w:val="0"/>
          <w:sz w:val="24"/>
          <w:szCs w:val="24"/>
        </w:rPr>
        <w:t xml:space="preserve"> reverse transcriptase to amplify </w:t>
      </w:r>
      <w:proofErr w:type="spellStart"/>
      <w:r w:rsidRPr="00BE5CBD">
        <w:rPr>
          <w:rFonts w:ascii="Calibri" w:eastAsia="Calibri" w:hAnsi="Calibri" w:cs="Calibri"/>
          <w:b w:val="0"/>
          <w:bCs w:val="0"/>
          <w:sz w:val="24"/>
          <w:szCs w:val="24"/>
        </w:rPr>
        <w:t>circRNAs</w:t>
      </w:r>
      <w:proofErr w:type="spellEnd"/>
      <w:r w:rsidRPr="00BE5CBD">
        <w:rPr>
          <w:rFonts w:ascii="Calibri" w:eastAsia="Calibri" w:hAnsi="Calibri" w:cs="Calibri"/>
          <w:b w:val="0"/>
          <w:bCs w:val="0"/>
          <w:sz w:val="24"/>
          <w:szCs w:val="24"/>
        </w:rPr>
        <w:t xml:space="preserve"> by producing long cDNA molecules containing multiple copies of full-length </w:t>
      </w:r>
      <w:proofErr w:type="spellStart"/>
      <w:r w:rsidRPr="00BE5CBD">
        <w:rPr>
          <w:rFonts w:ascii="Calibri" w:eastAsia="Calibri" w:hAnsi="Calibri" w:cs="Calibri"/>
          <w:b w:val="0"/>
          <w:bCs w:val="0"/>
          <w:sz w:val="24"/>
          <w:szCs w:val="24"/>
        </w:rPr>
        <w:t>circRNA</w:t>
      </w:r>
      <w:proofErr w:type="spellEnd"/>
      <w:r w:rsidRPr="00BE5CBD">
        <w:rPr>
          <w:rFonts w:ascii="Calibri" w:eastAsia="Calibri" w:hAnsi="Calibri" w:cs="Calibri"/>
          <w:b w:val="0"/>
          <w:bCs w:val="0"/>
          <w:sz w:val="24"/>
          <w:szCs w:val="24"/>
        </w:rPr>
        <w:t xml:space="preserve"> sequences</w:t>
      </w:r>
      <w:r w:rsidR="00464A95" w:rsidRPr="00BE5CBD">
        <w:rPr>
          <w:rFonts w:ascii="Calibri" w:eastAsia="Calibri" w:hAnsi="Calibri" w:cs="Calibri"/>
          <w:b w:val="0"/>
          <w:bCs w:val="0"/>
          <w:sz w:val="24"/>
          <w:szCs w:val="24"/>
        </w:rPr>
        <w:t xml:space="preserve"> To obtain clean sequences that contain only </w:t>
      </w:r>
      <w:proofErr w:type="spellStart"/>
      <w:r w:rsidR="00464A95" w:rsidRPr="00BE5CBD">
        <w:rPr>
          <w:rFonts w:ascii="Calibri" w:eastAsia="Calibri" w:hAnsi="Calibri" w:cs="Calibri"/>
          <w:b w:val="0"/>
          <w:bCs w:val="0"/>
          <w:sz w:val="24"/>
          <w:szCs w:val="24"/>
        </w:rPr>
        <w:t>circRNAs</w:t>
      </w:r>
      <w:proofErr w:type="spellEnd"/>
      <w:r w:rsidR="00464A95" w:rsidRPr="00BE5CBD">
        <w:rPr>
          <w:rFonts w:ascii="Calibri" w:eastAsia="Calibri" w:hAnsi="Calibri" w:cs="Calibri"/>
          <w:b w:val="0"/>
          <w:bCs w:val="0"/>
          <w:sz w:val="24"/>
          <w:szCs w:val="24"/>
        </w:rPr>
        <w:t xml:space="preserve">, reads were first base-called and de-multiplexed using </w:t>
      </w:r>
      <w:proofErr w:type="spellStart"/>
      <w:r w:rsidR="00464A95" w:rsidRPr="00BE5CBD">
        <w:rPr>
          <w:rFonts w:ascii="Calibri" w:eastAsia="Calibri" w:hAnsi="Calibri" w:cs="Calibri"/>
          <w:b w:val="0"/>
          <w:bCs w:val="0"/>
          <w:sz w:val="24"/>
          <w:szCs w:val="24"/>
        </w:rPr>
        <w:t>ont</w:t>
      </w:r>
      <w:proofErr w:type="spellEnd"/>
      <w:r w:rsidR="00464A95" w:rsidRPr="00BE5CBD">
        <w:rPr>
          <w:rFonts w:ascii="Calibri" w:eastAsia="Calibri" w:hAnsi="Calibri" w:cs="Calibri"/>
          <w:b w:val="0"/>
          <w:bCs w:val="0"/>
          <w:sz w:val="24"/>
          <w:szCs w:val="24"/>
        </w:rPr>
        <w:t xml:space="preserve">-guppy. Then barcodes and primers were trimmed using </w:t>
      </w:r>
      <w:proofErr w:type="spellStart"/>
      <w:r w:rsidR="00464A95" w:rsidRPr="00BE5CBD">
        <w:rPr>
          <w:rFonts w:ascii="Calibri" w:eastAsia="Calibri" w:hAnsi="Calibri" w:cs="Calibri"/>
          <w:b w:val="0"/>
          <w:bCs w:val="0"/>
          <w:sz w:val="24"/>
          <w:szCs w:val="24"/>
        </w:rPr>
        <w:t>Porechop</w:t>
      </w:r>
      <w:proofErr w:type="spellEnd"/>
      <w:r w:rsidR="00464A95" w:rsidRPr="00BE5CBD">
        <w:rPr>
          <w:rFonts w:ascii="Calibri" w:eastAsia="Calibri" w:hAnsi="Calibri" w:cs="Calibri"/>
          <w:b w:val="0"/>
          <w:bCs w:val="0"/>
          <w:sz w:val="24"/>
          <w:szCs w:val="24"/>
        </w:rPr>
        <w:t xml:space="preserve"> with a modified primer library.</w:t>
      </w:r>
    </w:p>
    <w:p w14:paraId="7C8767F7" w14:textId="269FBD61" w:rsidR="00BE5CBD" w:rsidRPr="00951C44" w:rsidRDefault="00BE5CBD" w:rsidP="007A04BF">
      <w:pPr>
        <w:pStyle w:val="Heading3"/>
        <w:shd w:val="clear" w:color="auto" w:fill="FFFFFF"/>
        <w:spacing w:before="0" w:beforeAutospacing="0" w:after="120" w:afterAutospacing="0"/>
        <w:jc w:val="both"/>
        <w:rPr>
          <w:rFonts w:ascii="Calibri" w:eastAsia="Calibri" w:hAnsi="Calibri" w:cs="Calibri"/>
          <w:b w:val="0"/>
          <w:bCs w:val="0"/>
          <w:color w:val="806000" w:themeColor="accent4" w:themeShade="80"/>
          <w:sz w:val="28"/>
          <w:szCs w:val="22"/>
          <w:u w:val="single"/>
          <w:rtl/>
        </w:rPr>
      </w:pPr>
      <w:r w:rsidRPr="00951C44">
        <w:rPr>
          <w:rFonts w:ascii="Calibri" w:eastAsia="Calibri" w:hAnsi="Calibri" w:cs="Calibri"/>
          <w:b w:val="0"/>
          <w:bCs w:val="0"/>
          <w:color w:val="806000" w:themeColor="accent4" w:themeShade="80"/>
          <w:sz w:val="28"/>
          <w:szCs w:val="22"/>
          <w:u w:val="single"/>
        </w:rPr>
        <w:t xml:space="preserve">Experimental optimization for capture of full-length </w:t>
      </w:r>
      <w:proofErr w:type="spellStart"/>
      <w:r w:rsidRPr="00951C44">
        <w:rPr>
          <w:rFonts w:ascii="Calibri" w:eastAsia="Calibri" w:hAnsi="Calibri" w:cs="Calibri"/>
          <w:b w:val="0"/>
          <w:bCs w:val="0"/>
          <w:color w:val="806000" w:themeColor="accent4" w:themeShade="80"/>
          <w:sz w:val="28"/>
          <w:szCs w:val="22"/>
          <w:u w:val="single"/>
        </w:rPr>
        <w:t>circRNAs</w:t>
      </w:r>
      <w:proofErr w:type="spellEnd"/>
      <w:r w:rsidRPr="00951C44">
        <w:rPr>
          <w:rFonts w:ascii="Calibri" w:eastAsia="Calibri" w:hAnsi="Calibri" w:cs="Calibri"/>
          <w:b w:val="0"/>
          <w:bCs w:val="0"/>
          <w:color w:val="806000" w:themeColor="accent4" w:themeShade="80"/>
          <w:sz w:val="28"/>
          <w:szCs w:val="22"/>
          <w:u w:val="single"/>
        </w:rPr>
        <w:t>:</w:t>
      </w:r>
    </w:p>
    <w:p w14:paraId="489B3E1F" w14:textId="5930F97E" w:rsidR="00BE5CBD" w:rsidRDefault="00BE5CBD" w:rsidP="007A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1F3864" w:themeColor="accent1" w:themeShade="80"/>
          <w:sz w:val="24"/>
          <w:szCs w:val="24"/>
          <w:u w:val="single"/>
          <w:lang w:val="en"/>
        </w:rPr>
      </w:pPr>
      <w:r w:rsidRPr="00BE5CBD">
        <w:rPr>
          <w:rFonts w:eastAsia="Times New Roman" w:cstheme="minorHAnsi"/>
          <w:color w:val="202124"/>
          <w:sz w:val="24"/>
          <w:szCs w:val="24"/>
          <w:lang w:val="en"/>
        </w:rPr>
        <w:t>32 nanoscale libraries were established to examine the effects of different experimental conditions on our methodologies in order to establish the best technique (Fig. 2a). In summary, total RNA was isolated from two biological copies of the mouse brains and separated into two batches. Several reverse transcription techniques (with or without A-</w:t>
      </w:r>
      <w:proofErr w:type="spellStart"/>
      <w:r w:rsidRPr="00BE5CBD">
        <w:rPr>
          <w:rFonts w:eastAsia="Times New Roman" w:cstheme="minorHAnsi"/>
          <w:color w:val="202124"/>
          <w:sz w:val="24"/>
          <w:szCs w:val="24"/>
          <w:lang w:val="en"/>
        </w:rPr>
        <w:t>tailin</w:t>
      </w:r>
      <w:proofErr w:type="spellEnd"/>
      <w:r w:rsidRPr="00BE5CBD">
        <w:rPr>
          <w:rFonts w:eastAsia="Times New Roman" w:cstheme="minorHAnsi"/>
          <w:color w:val="202124"/>
          <w:sz w:val="24"/>
          <w:szCs w:val="24"/>
        </w:rPr>
        <w:t>g</w:t>
      </w:r>
      <w:r w:rsidRPr="00BE5CBD">
        <w:rPr>
          <w:rFonts w:eastAsia="Times New Roman" w:cstheme="minorHAnsi"/>
          <w:color w:val="202124"/>
          <w:sz w:val="24"/>
          <w:szCs w:val="24"/>
          <w:lang w:val="en"/>
        </w:rPr>
        <w:t xml:space="preserve">) ​​were used in each batch, as shown </w:t>
      </w:r>
      <w:proofErr w:type="spellStart"/>
      <w:r w:rsidRPr="00BE5CBD">
        <w:rPr>
          <w:rFonts w:eastAsia="Times New Roman" w:cstheme="minorHAnsi"/>
          <w:color w:val="202124"/>
          <w:sz w:val="24"/>
          <w:szCs w:val="24"/>
          <w:lang w:val="en"/>
        </w:rPr>
        <w:t>inFigure</w:t>
      </w:r>
      <w:proofErr w:type="spellEnd"/>
      <w:r w:rsidRPr="00BE5CBD">
        <w:rPr>
          <w:rFonts w:eastAsia="Times New Roman" w:cstheme="minorHAnsi"/>
          <w:color w:val="202124"/>
          <w:sz w:val="24"/>
          <w:szCs w:val="24"/>
          <w:lang w:val="en"/>
        </w:rPr>
        <w:t xml:space="preserve"> </w:t>
      </w:r>
      <w:proofErr w:type="gramStart"/>
      <w:r w:rsidRPr="00BE5CBD">
        <w:rPr>
          <w:rFonts w:eastAsia="Times New Roman" w:cstheme="minorHAnsi"/>
          <w:color w:val="202124"/>
          <w:sz w:val="24"/>
          <w:szCs w:val="24"/>
          <w:lang w:val="en"/>
        </w:rPr>
        <w:t>2.</w:t>
      </w:r>
      <w:r w:rsidR="00602028">
        <w:rPr>
          <w:rFonts w:eastAsia="Times New Roman" w:cstheme="minorHAnsi"/>
          <w:color w:val="202124"/>
          <w:sz w:val="24"/>
          <w:szCs w:val="24"/>
          <w:lang w:val="en"/>
        </w:rPr>
        <w:t>(</w:t>
      </w:r>
      <w:proofErr w:type="gramEnd"/>
      <w:r w:rsidR="00602028">
        <w:rPr>
          <w:rFonts w:eastAsia="Times New Roman" w:cstheme="minorHAnsi"/>
          <w:color w:val="202124"/>
          <w:sz w:val="24"/>
          <w:szCs w:val="24"/>
          <w:lang w:val="en"/>
        </w:rPr>
        <w:t>“</w:t>
      </w:r>
      <w:hyperlink r:id="rId6" w:history="1">
        <w:r w:rsidR="00F737CE" w:rsidRPr="00C54F18">
          <w:rPr>
            <w:rStyle w:val="Hyperlink"/>
            <w:rFonts w:eastAsia="Times New Roman" w:cstheme="minorHAnsi"/>
            <w:sz w:val="24"/>
            <w:szCs w:val="24"/>
            <w:lang w:val="en"/>
          </w:rPr>
          <w:t>https://www.nature.com/articles/s41587-021-00842-6/figures/2</w:t>
        </w:r>
      </w:hyperlink>
      <w:r w:rsidR="00602028" w:rsidRPr="00602028">
        <w:rPr>
          <w:rFonts w:eastAsia="Times New Roman" w:cstheme="minorHAnsi"/>
          <w:color w:val="1F3864" w:themeColor="accent1" w:themeShade="80"/>
          <w:sz w:val="24"/>
          <w:szCs w:val="24"/>
          <w:u w:val="single"/>
          <w:lang w:val="en"/>
        </w:rPr>
        <w:t>”)</w:t>
      </w:r>
    </w:p>
    <w:p w14:paraId="46E04D03" w14:textId="77777777" w:rsidR="007A04BF" w:rsidRDefault="007A04BF" w:rsidP="007A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1F3864" w:themeColor="accent1" w:themeShade="80"/>
          <w:sz w:val="24"/>
          <w:szCs w:val="24"/>
          <w:u w:val="single"/>
          <w:lang w:val="en"/>
        </w:rPr>
      </w:pPr>
    </w:p>
    <w:p w14:paraId="431649D1" w14:textId="4DF5E2C6" w:rsidR="00602028" w:rsidRPr="00951C44" w:rsidRDefault="00F737CE" w:rsidP="007A04BF">
      <w:pPr>
        <w:pStyle w:val="Heading3"/>
        <w:shd w:val="clear" w:color="auto" w:fill="FFFFFF"/>
        <w:spacing w:before="0" w:beforeAutospacing="0" w:after="120" w:afterAutospacing="0"/>
        <w:jc w:val="both"/>
        <w:rPr>
          <w:rFonts w:ascii="Calibri" w:eastAsia="Calibri" w:hAnsi="Calibri" w:cs="Calibri"/>
          <w:b w:val="0"/>
          <w:bCs w:val="0"/>
          <w:color w:val="806000" w:themeColor="accent4" w:themeShade="80"/>
          <w:sz w:val="28"/>
          <w:szCs w:val="28"/>
          <w:u w:val="single"/>
        </w:rPr>
      </w:pPr>
      <w:r w:rsidRPr="00951C44">
        <w:rPr>
          <w:rFonts w:ascii="Calibri" w:eastAsia="Calibri" w:hAnsi="Calibri" w:cs="Calibri"/>
          <w:b w:val="0"/>
          <w:bCs w:val="0"/>
          <w:color w:val="806000" w:themeColor="accent4" w:themeShade="80"/>
          <w:sz w:val="28"/>
          <w:szCs w:val="28"/>
          <w:u w:val="single"/>
        </w:rPr>
        <w:t xml:space="preserve">Validation of </w:t>
      </w:r>
      <w:proofErr w:type="spellStart"/>
      <w:r w:rsidRPr="00951C44">
        <w:rPr>
          <w:rFonts w:ascii="Calibri" w:eastAsia="Calibri" w:hAnsi="Calibri" w:cs="Calibri"/>
          <w:b w:val="0"/>
          <w:bCs w:val="0"/>
          <w:color w:val="806000" w:themeColor="accent4" w:themeShade="80"/>
          <w:sz w:val="28"/>
          <w:szCs w:val="28"/>
          <w:u w:val="single"/>
        </w:rPr>
        <w:t>circRNAs</w:t>
      </w:r>
      <w:proofErr w:type="spellEnd"/>
      <w:r w:rsidRPr="00951C44">
        <w:rPr>
          <w:rFonts w:ascii="Calibri" w:eastAsia="Calibri" w:hAnsi="Calibri" w:cs="Calibri"/>
          <w:b w:val="0"/>
          <w:bCs w:val="0"/>
          <w:color w:val="806000" w:themeColor="accent4" w:themeShade="80"/>
          <w:sz w:val="28"/>
          <w:szCs w:val="28"/>
          <w:u w:val="single"/>
        </w:rPr>
        <w:t xml:space="preserve"> using simulated and Illumina RNA-seq datasets:</w:t>
      </w:r>
    </w:p>
    <w:p w14:paraId="208BDA69" w14:textId="3866E32E" w:rsidR="00602028" w:rsidRDefault="00602028" w:rsidP="007A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02124"/>
          <w:sz w:val="24"/>
          <w:szCs w:val="24"/>
          <w:lang w:val="en"/>
        </w:rPr>
      </w:pPr>
      <w:r w:rsidRPr="00F737CE">
        <w:rPr>
          <w:rFonts w:eastAsia="Times New Roman" w:cstheme="minorHAnsi"/>
          <w:color w:val="202124"/>
          <w:sz w:val="24"/>
          <w:szCs w:val="24"/>
          <w:lang w:val="en"/>
        </w:rPr>
        <w:lastRenderedPageBreak/>
        <w:t xml:space="preserve">NanoSim26 was used to produce simulated nanopore sequencing </w:t>
      </w:r>
      <w:proofErr w:type="gramStart"/>
      <w:r w:rsidRPr="00F737CE">
        <w:rPr>
          <w:rFonts w:eastAsia="Times New Roman" w:cstheme="minorHAnsi"/>
          <w:color w:val="202124"/>
          <w:sz w:val="24"/>
          <w:szCs w:val="24"/>
          <w:lang w:val="en"/>
        </w:rPr>
        <w:t>datasets  and</w:t>
      </w:r>
      <w:proofErr w:type="gramEnd"/>
      <w:r w:rsidRPr="00F737CE">
        <w:rPr>
          <w:rFonts w:eastAsia="Times New Roman" w:cstheme="minorHAnsi"/>
          <w:color w:val="202124"/>
          <w:sz w:val="24"/>
          <w:szCs w:val="24"/>
          <w:lang w:val="en"/>
        </w:rPr>
        <w:t xml:space="preserve"> then CIRI-long was used to describe </w:t>
      </w:r>
      <w:proofErr w:type="spellStart"/>
      <w:r w:rsidRPr="00F737CE">
        <w:rPr>
          <w:rFonts w:eastAsia="Times New Roman" w:cstheme="minorHAnsi"/>
          <w:color w:val="202124"/>
          <w:sz w:val="24"/>
          <w:szCs w:val="24"/>
          <w:lang w:val="en"/>
        </w:rPr>
        <w:t>circRNAs</w:t>
      </w:r>
      <w:proofErr w:type="spellEnd"/>
      <w:r w:rsidRPr="00F737CE">
        <w:rPr>
          <w:rFonts w:eastAsia="Times New Roman" w:cstheme="minorHAnsi"/>
          <w:color w:val="202124"/>
          <w:sz w:val="24"/>
          <w:szCs w:val="24"/>
          <w:lang w:val="en"/>
        </w:rPr>
        <w:t xml:space="preserve"> in the simulated data to assess the dependability of CIRI-long. CIRI-long received an F1 score of 0.92 for read-level analysis, suggesting that circular read detection is very sensitive and accurate (Supplementary Table 2).The simulated length of CCSs detected by CIRI-long was likewise substantially linked with the length of CCSs observed by CIRI-long (Fig. 3a). To compare </w:t>
      </w:r>
      <w:proofErr w:type="spellStart"/>
      <w:r w:rsidRPr="00F737CE">
        <w:rPr>
          <w:rFonts w:eastAsia="Times New Roman" w:cstheme="minorHAnsi"/>
          <w:color w:val="202124"/>
          <w:sz w:val="24"/>
          <w:szCs w:val="24"/>
          <w:lang w:val="en"/>
        </w:rPr>
        <w:t>circRNA</w:t>
      </w:r>
      <w:proofErr w:type="spellEnd"/>
      <w:r w:rsidRPr="00F737CE">
        <w:rPr>
          <w:rFonts w:eastAsia="Times New Roman" w:cstheme="minorHAnsi"/>
          <w:color w:val="202124"/>
          <w:sz w:val="24"/>
          <w:szCs w:val="24"/>
          <w:lang w:val="en"/>
        </w:rPr>
        <w:t xml:space="preserve"> levels, the anticipated and simulated coordinates of each </w:t>
      </w:r>
      <w:proofErr w:type="spellStart"/>
      <w:r w:rsidRPr="00F737CE">
        <w:rPr>
          <w:rFonts w:eastAsia="Times New Roman" w:cstheme="minorHAnsi"/>
          <w:color w:val="202124"/>
          <w:sz w:val="24"/>
          <w:szCs w:val="24"/>
          <w:lang w:val="en"/>
        </w:rPr>
        <w:t>circRNA</w:t>
      </w:r>
      <w:proofErr w:type="spellEnd"/>
      <w:r w:rsidRPr="00F737CE">
        <w:rPr>
          <w:rFonts w:eastAsia="Times New Roman" w:cstheme="minorHAnsi"/>
          <w:color w:val="202124"/>
          <w:sz w:val="24"/>
          <w:szCs w:val="24"/>
          <w:lang w:val="en"/>
        </w:rPr>
        <w:t xml:space="preserve"> were examined. CIRI-long was able to reliably detect the BSJ site for the great majority(96.57</w:t>
      </w:r>
      <w:proofErr w:type="gramStart"/>
      <w:r w:rsidR="00F737CE">
        <w:rPr>
          <w:rFonts w:eastAsia="Times New Roman" w:cstheme="minorHAnsi"/>
          <w:color w:val="202124"/>
          <w:sz w:val="24"/>
          <w:szCs w:val="24"/>
          <w:lang w:val="en"/>
        </w:rPr>
        <w:t>%</w:t>
      </w:r>
      <w:r w:rsidRPr="00F737CE">
        <w:rPr>
          <w:rFonts w:eastAsia="Times New Roman" w:cstheme="minorHAnsi"/>
          <w:color w:val="202124"/>
          <w:sz w:val="24"/>
          <w:szCs w:val="24"/>
          <w:lang w:val="en"/>
        </w:rPr>
        <w:t>)detectedcircRNAs</w:t>
      </w:r>
      <w:proofErr w:type="gramEnd"/>
      <w:r w:rsidRPr="00F737CE">
        <w:rPr>
          <w:rFonts w:eastAsia="Times New Roman" w:cstheme="minorHAnsi"/>
          <w:color w:val="202124"/>
          <w:sz w:val="24"/>
          <w:szCs w:val="24"/>
          <w:lang w:val="en"/>
        </w:rPr>
        <w:t>,as</w:t>
      </w:r>
      <w:r w:rsidR="00F737CE" w:rsidRPr="00F737CE">
        <w:rPr>
          <w:rFonts w:eastAsia="Times New Roman" w:cstheme="minorHAnsi"/>
          <w:color w:val="202124"/>
          <w:sz w:val="24"/>
          <w:szCs w:val="24"/>
          <w:lang w:val="en"/>
        </w:rPr>
        <w:t>..</w:t>
      </w:r>
      <w:r w:rsidRPr="00F737CE">
        <w:rPr>
          <w:rFonts w:eastAsia="Times New Roman" w:cstheme="minorHAnsi"/>
          <w:color w:val="202124"/>
          <w:sz w:val="24"/>
          <w:szCs w:val="24"/>
          <w:lang w:val="en"/>
        </w:rPr>
        <w:t>showninFig.3b.(</w:t>
      </w:r>
      <w:r w:rsidRPr="00F737CE">
        <w:rPr>
          <w:rStyle w:val="Hyperlink"/>
          <w:sz w:val="24"/>
          <w:szCs w:val="24"/>
          <w:lang w:val="en"/>
        </w:rPr>
        <w:t>https://www.nature.com/articles/s41587-021-00842-6/figures/3</w:t>
      </w:r>
      <w:r w:rsidRPr="00F737CE">
        <w:rPr>
          <w:rFonts w:eastAsia="Times New Roman" w:cstheme="minorHAnsi"/>
          <w:color w:val="202124"/>
          <w:sz w:val="24"/>
          <w:szCs w:val="24"/>
          <w:lang w:val="en"/>
        </w:rPr>
        <w:t>).</w:t>
      </w:r>
      <w:r w:rsidR="00F737CE" w:rsidRPr="00F737CE">
        <w:rPr>
          <w:sz w:val="24"/>
          <w:szCs w:val="24"/>
        </w:rPr>
        <w:t xml:space="preserve"> </w:t>
      </w:r>
      <w:r w:rsidR="00F737CE" w:rsidRPr="00F737CE">
        <w:rPr>
          <w:rFonts w:eastAsia="Times New Roman" w:cstheme="minorHAnsi"/>
          <w:color w:val="202124"/>
          <w:sz w:val="24"/>
          <w:szCs w:val="24"/>
          <w:lang w:val="en"/>
        </w:rPr>
        <w:t>We evaluated the accuracy of raw sequencing reads and CCSs, respectively, due to the relatively high error rate in nanopore sequencing data. The coverage of full-length CCS grew in lockstep with read duration, resulting in CCS accuracy ranging from 92.6 percent to 98.1 percent (5 copies of full-length CCS; Supplementary Figs. 7 and 8).</w:t>
      </w:r>
    </w:p>
    <w:p w14:paraId="5E2631A7" w14:textId="77777777" w:rsidR="00AE2C33" w:rsidRDefault="00AE2C33" w:rsidP="007A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02124"/>
          <w:sz w:val="24"/>
          <w:szCs w:val="24"/>
          <w:lang w:val="en"/>
        </w:rPr>
      </w:pPr>
    </w:p>
    <w:p w14:paraId="5EA076ED" w14:textId="47CF817B" w:rsidR="00AE2C33" w:rsidRPr="00951C44" w:rsidRDefault="00AE2C33" w:rsidP="007A04BF">
      <w:pPr>
        <w:pStyle w:val="Heading3"/>
        <w:shd w:val="clear" w:color="auto" w:fill="FFFFFF"/>
        <w:spacing w:before="0" w:beforeAutospacing="0" w:after="120" w:afterAutospacing="0"/>
        <w:jc w:val="both"/>
        <w:rPr>
          <w:rFonts w:ascii="Calibri" w:eastAsia="Calibri" w:hAnsi="Calibri" w:cs="Calibri"/>
          <w:b w:val="0"/>
          <w:bCs w:val="0"/>
          <w:color w:val="806000" w:themeColor="accent4" w:themeShade="80"/>
          <w:sz w:val="32"/>
          <w:szCs w:val="32"/>
          <w:u w:val="single"/>
        </w:rPr>
      </w:pPr>
      <w:r w:rsidRPr="00951C44">
        <w:rPr>
          <w:rFonts w:ascii="Calibri" w:eastAsia="Calibri" w:hAnsi="Calibri" w:cs="Calibri"/>
          <w:b w:val="0"/>
          <w:bCs w:val="0"/>
          <w:color w:val="806000" w:themeColor="accent4" w:themeShade="80"/>
          <w:sz w:val="28"/>
          <w:szCs w:val="28"/>
          <w:u w:val="single"/>
        </w:rPr>
        <w:t xml:space="preserve">A new type of intronic self-ligated </w:t>
      </w:r>
      <w:proofErr w:type="spellStart"/>
      <w:r w:rsidRPr="00951C44">
        <w:rPr>
          <w:rFonts w:ascii="Calibri" w:eastAsia="Calibri" w:hAnsi="Calibri" w:cs="Calibri"/>
          <w:b w:val="0"/>
          <w:bCs w:val="0"/>
          <w:color w:val="806000" w:themeColor="accent4" w:themeShade="80"/>
          <w:sz w:val="28"/>
          <w:szCs w:val="28"/>
          <w:u w:val="single"/>
        </w:rPr>
        <w:t>circRNAs</w:t>
      </w:r>
      <w:proofErr w:type="spellEnd"/>
      <w:r w:rsidRPr="00951C44">
        <w:rPr>
          <w:rFonts w:ascii="Calibri" w:eastAsia="Calibri" w:hAnsi="Calibri" w:cs="Calibri"/>
          <w:b w:val="0"/>
          <w:bCs w:val="0"/>
          <w:color w:val="806000" w:themeColor="accent4" w:themeShade="80"/>
          <w:sz w:val="28"/>
          <w:szCs w:val="28"/>
          <w:u w:val="single"/>
        </w:rPr>
        <w:t>:</w:t>
      </w:r>
    </w:p>
    <w:p w14:paraId="7820E70B" w14:textId="6C56746F" w:rsidR="00AE2C33" w:rsidRDefault="00AE2C33" w:rsidP="0039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02124"/>
          <w:sz w:val="24"/>
          <w:szCs w:val="24"/>
          <w:lang w:val="en"/>
        </w:rPr>
      </w:pPr>
      <w:r w:rsidRPr="00AE2C33">
        <w:rPr>
          <w:rFonts w:eastAsia="Times New Roman" w:cstheme="minorHAnsi"/>
          <w:color w:val="202124"/>
          <w:sz w:val="24"/>
          <w:szCs w:val="24"/>
          <w:lang w:val="en"/>
        </w:rPr>
        <w:t xml:space="preserve">To investigate the variety of </w:t>
      </w:r>
      <w:proofErr w:type="spellStart"/>
      <w:r w:rsidRPr="00AE2C33">
        <w:rPr>
          <w:rFonts w:eastAsia="Times New Roman" w:cstheme="minorHAnsi"/>
          <w:color w:val="202124"/>
          <w:sz w:val="24"/>
          <w:szCs w:val="24"/>
          <w:lang w:val="en"/>
        </w:rPr>
        <w:t>circRNA</w:t>
      </w:r>
      <w:proofErr w:type="spellEnd"/>
      <w:r w:rsidRPr="00AE2C33">
        <w:rPr>
          <w:rFonts w:eastAsia="Times New Roman" w:cstheme="minorHAnsi"/>
          <w:color w:val="202124"/>
          <w:sz w:val="24"/>
          <w:szCs w:val="24"/>
          <w:lang w:val="en"/>
        </w:rPr>
        <w:t xml:space="preserve"> biogenesis, all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were classified into two groups based on the start and end coordinates of back-splicing processes.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were considered annotated if their start and end coordinates matched the annotated splice sites in the GENCODE vM20 annotation; otherwise, they were classified as </w:t>
      </w:r>
      <w:proofErr w:type="spellStart"/>
      <w:proofErr w:type="gramStart"/>
      <w:r w:rsidRPr="00AE2C33">
        <w:rPr>
          <w:rFonts w:eastAsia="Times New Roman" w:cstheme="minorHAnsi"/>
          <w:color w:val="202124"/>
          <w:sz w:val="24"/>
          <w:szCs w:val="24"/>
          <w:lang w:val="en"/>
        </w:rPr>
        <w:t>new.In</w:t>
      </w:r>
      <w:proofErr w:type="spellEnd"/>
      <w:proofErr w:type="gramEnd"/>
      <w:r w:rsidRPr="00AE2C33">
        <w:rPr>
          <w:rFonts w:eastAsia="Times New Roman" w:cstheme="minorHAnsi"/>
          <w:color w:val="202124"/>
          <w:sz w:val="24"/>
          <w:szCs w:val="24"/>
          <w:lang w:val="en"/>
        </w:rPr>
        <w:t xml:space="preserve"> accordance with past research 90% of </w:t>
      </w:r>
      <w:proofErr w:type="spellStart"/>
      <w:r w:rsidRPr="00AE2C33">
        <w:rPr>
          <w:rFonts w:eastAsia="Times New Roman" w:cstheme="minorHAnsi"/>
          <w:color w:val="202124"/>
          <w:sz w:val="24"/>
          <w:szCs w:val="24"/>
          <w:lang w:val="en"/>
        </w:rPr>
        <w:t>exonic</w:t>
      </w:r>
      <w:proofErr w:type="spellEnd"/>
      <w:r w:rsidRPr="00AE2C33">
        <w:rPr>
          <w:rFonts w:eastAsia="Times New Roman" w:cstheme="minorHAnsi"/>
          <w:color w:val="202124"/>
          <w:sz w:val="24"/>
          <w:szCs w:val="24"/>
          <w:lang w:val="en"/>
        </w:rPr>
        <w:t xml:space="preserve">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were formed from annotated splice signals, but the majority of intronic and intergenic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were </w:t>
      </w:r>
      <w:proofErr w:type="spellStart"/>
      <w:r w:rsidRPr="00AE2C33">
        <w:rPr>
          <w:rFonts w:eastAsia="Times New Roman" w:cstheme="minorHAnsi"/>
          <w:color w:val="202124"/>
          <w:sz w:val="24"/>
          <w:szCs w:val="24"/>
          <w:lang w:val="en"/>
        </w:rPr>
        <w:t>categorised</w:t>
      </w:r>
      <w:proofErr w:type="spellEnd"/>
      <w:r w:rsidRPr="00AE2C33">
        <w:rPr>
          <w:rFonts w:eastAsia="Times New Roman" w:cstheme="minorHAnsi"/>
          <w:color w:val="202124"/>
          <w:sz w:val="24"/>
          <w:szCs w:val="24"/>
          <w:lang w:val="en"/>
        </w:rPr>
        <w:t xml:space="preserve"> as new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(Fig. 5a).Notably, only a tiny percentage of intronic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corresponded to identified splice sites. Intronic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were divided into three groups to determine putative biogenesis processes of these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Intronic </w:t>
      </w:r>
      <w:proofErr w:type="spellStart"/>
      <w:r w:rsidRPr="00AE2C33">
        <w:rPr>
          <w:rFonts w:eastAsia="Times New Roman" w:cstheme="minorHAnsi"/>
          <w:color w:val="202124"/>
          <w:sz w:val="24"/>
          <w:szCs w:val="24"/>
          <w:lang w:val="en"/>
        </w:rPr>
        <w:t>exonic</w:t>
      </w:r>
      <w:proofErr w:type="spellEnd"/>
      <w:r w:rsidRPr="00AE2C33">
        <w:rPr>
          <w:rFonts w:eastAsia="Times New Roman" w:cstheme="minorHAnsi"/>
          <w:color w:val="202124"/>
          <w:sz w:val="24"/>
          <w:szCs w:val="24"/>
          <w:lang w:val="en"/>
        </w:rPr>
        <w:t xml:space="preserve">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(intronic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with flanking conventional AG/GT splice signals), intronic self-ligated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and lariat intronic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(Fig. 5</w:t>
      </w:r>
      <w:proofErr w:type="gramStart"/>
      <w:r w:rsidRPr="00AE2C33">
        <w:rPr>
          <w:rFonts w:eastAsia="Times New Roman" w:cstheme="minorHAnsi"/>
          <w:color w:val="202124"/>
          <w:sz w:val="24"/>
          <w:szCs w:val="24"/>
          <w:lang w:val="en"/>
        </w:rPr>
        <w:t>b ).Intronic</w:t>
      </w:r>
      <w:proofErr w:type="gramEnd"/>
      <w:r w:rsidRPr="00AE2C33">
        <w:rPr>
          <w:rFonts w:eastAsia="Times New Roman" w:cstheme="minorHAnsi"/>
          <w:color w:val="202124"/>
          <w:sz w:val="24"/>
          <w:szCs w:val="24"/>
          <w:lang w:val="en"/>
        </w:rPr>
        <w:t xml:space="preserve"> </w:t>
      </w:r>
      <w:proofErr w:type="spellStart"/>
      <w:r w:rsidRPr="00AE2C33">
        <w:rPr>
          <w:rFonts w:eastAsia="Times New Roman" w:cstheme="minorHAnsi"/>
          <w:color w:val="202124"/>
          <w:sz w:val="24"/>
          <w:szCs w:val="24"/>
          <w:lang w:val="en"/>
        </w:rPr>
        <w:t>exonic</w:t>
      </w:r>
      <w:proofErr w:type="spellEnd"/>
      <w:r w:rsidRPr="00AE2C33">
        <w:rPr>
          <w:rFonts w:eastAsia="Times New Roman" w:cstheme="minorHAnsi"/>
          <w:color w:val="202124"/>
          <w:sz w:val="24"/>
          <w:szCs w:val="24"/>
          <w:lang w:val="en"/>
        </w:rPr>
        <w:t xml:space="preserve">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employ the typical AG/GT splice signals and have a back-splicing pattern similar to </w:t>
      </w:r>
      <w:proofErr w:type="spellStart"/>
      <w:r w:rsidRPr="00AE2C33">
        <w:rPr>
          <w:rFonts w:eastAsia="Times New Roman" w:cstheme="minorHAnsi"/>
          <w:color w:val="202124"/>
          <w:sz w:val="24"/>
          <w:szCs w:val="24"/>
          <w:lang w:val="en"/>
        </w:rPr>
        <w:t>exonic</w:t>
      </w:r>
      <w:proofErr w:type="spellEnd"/>
      <w:r w:rsidRPr="00AE2C33">
        <w:rPr>
          <w:rFonts w:eastAsia="Times New Roman" w:cstheme="minorHAnsi"/>
          <w:color w:val="202124"/>
          <w:sz w:val="24"/>
          <w:szCs w:val="24"/>
          <w:lang w:val="en"/>
        </w:rPr>
        <w:t xml:space="preserve">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Intronic self-ligated </w:t>
      </w:r>
      <w:proofErr w:type="spellStart"/>
      <w:r w:rsidRPr="00AE2C33">
        <w:rPr>
          <w:rFonts w:eastAsia="Times New Roman" w:cstheme="minorHAnsi"/>
          <w:color w:val="202124"/>
          <w:sz w:val="24"/>
          <w:szCs w:val="24"/>
          <w:lang w:val="en"/>
        </w:rPr>
        <w:t>circRNAs</w:t>
      </w:r>
      <w:proofErr w:type="spellEnd"/>
      <w:r w:rsidRPr="00AE2C33">
        <w:rPr>
          <w:rFonts w:eastAsia="Times New Roman" w:cstheme="minorHAnsi"/>
          <w:color w:val="202124"/>
          <w:sz w:val="24"/>
          <w:szCs w:val="24"/>
          <w:lang w:val="en"/>
        </w:rPr>
        <w:t xml:space="preserve">, on the other hand, are produced by direct ligation of the host intron's 3′ and 5′ splice sites, which were previously unknown. The 2′–5′ branch of </w:t>
      </w:r>
      <w:proofErr w:type="gramStart"/>
      <w:r w:rsidRPr="00AE2C33">
        <w:rPr>
          <w:rFonts w:eastAsia="Times New Roman" w:cstheme="minorHAnsi"/>
          <w:color w:val="202124"/>
          <w:sz w:val="24"/>
          <w:szCs w:val="24"/>
          <w:lang w:val="en"/>
        </w:rPr>
        <w:t>introniclariats</w:t>
      </w:r>
      <w:r>
        <w:rPr>
          <w:rFonts w:eastAsia="Times New Roman" w:cstheme="minorHAnsi"/>
          <w:color w:val="202124"/>
          <w:sz w:val="24"/>
          <w:szCs w:val="24"/>
          <w:lang w:val="en"/>
        </w:rPr>
        <w:t>..</w:t>
      </w:r>
      <w:proofErr w:type="gramEnd"/>
      <w:r w:rsidRPr="00AE2C33">
        <w:rPr>
          <w:rFonts w:eastAsia="Times New Roman" w:cstheme="minorHAnsi"/>
          <w:color w:val="202124"/>
          <w:sz w:val="24"/>
          <w:szCs w:val="24"/>
          <w:lang w:val="en"/>
        </w:rPr>
        <w:t>yieldslariat</w:t>
      </w:r>
      <w:r>
        <w:rPr>
          <w:rFonts w:eastAsia="Times New Roman" w:cstheme="minorHAnsi"/>
          <w:color w:val="202124"/>
          <w:sz w:val="24"/>
          <w:szCs w:val="24"/>
          <w:lang w:val="en"/>
        </w:rPr>
        <w:t>..</w:t>
      </w:r>
      <w:r w:rsidRPr="00AE2C33">
        <w:rPr>
          <w:rFonts w:eastAsia="Times New Roman" w:cstheme="minorHAnsi"/>
          <w:color w:val="202124"/>
          <w:sz w:val="24"/>
          <w:szCs w:val="24"/>
          <w:lang w:val="en"/>
        </w:rPr>
        <w:t>intronic</w:t>
      </w:r>
      <w:r>
        <w:rPr>
          <w:rFonts w:eastAsia="Times New Roman" w:cstheme="minorHAnsi"/>
          <w:color w:val="202124"/>
          <w:sz w:val="24"/>
          <w:szCs w:val="24"/>
          <w:lang w:val="en"/>
        </w:rPr>
        <w:t>..</w:t>
      </w:r>
      <w:r w:rsidRPr="00AE2C33">
        <w:rPr>
          <w:rFonts w:eastAsia="Times New Roman" w:cstheme="minorHAnsi"/>
          <w:color w:val="202124"/>
          <w:sz w:val="24"/>
          <w:szCs w:val="24"/>
          <w:lang w:val="en"/>
        </w:rPr>
        <w:t>circRNAs.we</w:t>
      </w:r>
      <w:r>
        <w:rPr>
          <w:rFonts w:eastAsia="Times New Roman" w:cstheme="minorHAnsi"/>
          <w:color w:val="202124"/>
          <w:sz w:val="24"/>
          <w:szCs w:val="24"/>
          <w:lang w:val="en"/>
        </w:rPr>
        <w:t>..</w:t>
      </w:r>
      <w:r w:rsidRPr="00AE2C33">
        <w:rPr>
          <w:rFonts w:eastAsia="Times New Roman" w:cstheme="minorHAnsi"/>
          <w:color w:val="202124"/>
          <w:sz w:val="24"/>
          <w:szCs w:val="24"/>
          <w:lang w:val="en"/>
        </w:rPr>
        <w:t>canknow</w:t>
      </w:r>
      <w:r>
        <w:rPr>
          <w:rFonts w:eastAsia="Times New Roman" w:cstheme="minorHAnsi"/>
          <w:color w:val="202124"/>
          <w:sz w:val="24"/>
          <w:szCs w:val="24"/>
          <w:lang w:val="en"/>
        </w:rPr>
        <w:t>..</w:t>
      </w:r>
      <w:r w:rsidRPr="00AE2C33">
        <w:rPr>
          <w:rFonts w:eastAsia="Times New Roman" w:cstheme="minorHAnsi"/>
          <w:color w:val="202124"/>
          <w:sz w:val="24"/>
          <w:szCs w:val="24"/>
          <w:lang w:val="en"/>
        </w:rPr>
        <w:t>more</w:t>
      </w:r>
      <w:r>
        <w:rPr>
          <w:rFonts w:eastAsia="Times New Roman" w:cstheme="minorHAnsi"/>
          <w:color w:val="202124"/>
          <w:sz w:val="24"/>
          <w:szCs w:val="24"/>
          <w:lang w:val="en"/>
        </w:rPr>
        <w:t>..</w:t>
      </w:r>
      <w:r w:rsidRPr="00AE2C33">
        <w:rPr>
          <w:rFonts w:eastAsia="Times New Roman" w:cstheme="minorHAnsi"/>
          <w:color w:val="202124"/>
          <w:sz w:val="24"/>
          <w:szCs w:val="24"/>
          <w:lang w:val="en"/>
        </w:rPr>
        <w:t>from(</w:t>
      </w:r>
      <w:hyperlink r:id="rId7" w:history="1">
        <w:r w:rsidR="007A04BF" w:rsidRPr="00C54F18">
          <w:rPr>
            <w:rStyle w:val="Hyperlink"/>
            <w:lang w:val="en"/>
          </w:rPr>
          <w:t>https://www.nature.com/articles/s41587-021-00842-6/figures/5</w:t>
        </w:r>
      </w:hyperlink>
      <w:r w:rsidRPr="00AE2C33">
        <w:rPr>
          <w:rFonts w:eastAsia="Times New Roman" w:cstheme="minorHAnsi"/>
          <w:color w:val="202124"/>
          <w:sz w:val="24"/>
          <w:szCs w:val="24"/>
          <w:lang w:val="en"/>
        </w:rPr>
        <w:t>)</w:t>
      </w:r>
      <w:r w:rsidR="007A04BF">
        <w:rPr>
          <w:rFonts w:eastAsia="Times New Roman" w:cstheme="minorHAnsi"/>
          <w:color w:val="202124"/>
          <w:sz w:val="24"/>
          <w:szCs w:val="24"/>
          <w:lang w:val="en"/>
        </w:rPr>
        <w:t>.</w:t>
      </w:r>
    </w:p>
    <w:p w14:paraId="6FB23E9D" w14:textId="168B7CC0" w:rsidR="007A04BF" w:rsidRDefault="007A04BF" w:rsidP="007A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02124"/>
          <w:sz w:val="24"/>
          <w:szCs w:val="24"/>
          <w:lang w:val="en"/>
        </w:rPr>
      </w:pPr>
    </w:p>
    <w:p w14:paraId="003D87B4" w14:textId="46AE5FB2" w:rsidR="00675663" w:rsidRDefault="00675663" w:rsidP="00675663">
      <w:pPr>
        <w:jc w:val="both"/>
        <w:rPr>
          <w:rFonts w:ascii="Times New Roman" w:eastAsia="Times New Roman" w:hAnsi="Times New Roman" w:cs="Times New Roman"/>
          <w:b/>
          <w:color w:val="00B050"/>
          <w:spacing w:val="-10"/>
          <w:sz w:val="40"/>
          <w:u w:val="single"/>
          <w:rtl/>
        </w:rPr>
      </w:pPr>
      <w:r w:rsidRPr="00675663">
        <w:rPr>
          <w:rFonts w:ascii="Times New Roman" w:eastAsia="Times New Roman" w:hAnsi="Times New Roman" w:cs="Times New Roman"/>
          <w:b/>
          <w:color w:val="00B050"/>
          <w:spacing w:val="-10"/>
          <w:sz w:val="40"/>
          <w:u w:val="single"/>
        </w:rPr>
        <w:t>Methods:</w:t>
      </w:r>
    </w:p>
    <w:p w14:paraId="01DC3FFF" w14:textId="798FC637" w:rsidR="00394439" w:rsidRPr="00951C44" w:rsidRDefault="00394439" w:rsidP="00394439">
      <w:pPr>
        <w:pStyle w:val="Heading3"/>
        <w:shd w:val="clear" w:color="auto" w:fill="FFFFFF"/>
        <w:spacing w:before="0" w:beforeAutospacing="0" w:after="120" w:afterAutospacing="0"/>
        <w:jc w:val="both"/>
        <w:rPr>
          <w:rFonts w:ascii="Calibri" w:eastAsia="Calibri" w:hAnsi="Calibri" w:cs="Calibri"/>
          <w:b w:val="0"/>
          <w:bCs w:val="0"/>
          <w:color w:val="806000" w:themeColor="accent4" w:themeShade="80"/>
          <w:sz w:val="32"/>
          <w:szCs w:val="32"/>
          <w:u w:val="single"/>
        </w:rPr>
      </w:pPr>
      <w:r w:rsidRPr="00951C44">
        <w:rPr>
          <w:rFonts w:ascii="Calibri" w:eastAsia="Calibri" w:hAnsi="Calibri" w:cs="Calibri"/>
          <w:b w:val="0"/>
          <w:bCs w:val="0"/>
          <w:color w:val="806000" w:themeColor="accent4" w:themeShade="80"/>
          <w:sz w:val="32"/>
          <w:szCs w:val="32"/>
          <w:u w:val="single"/>
        </w:rPr>
        <w:t>Nanopore library preparation</w:t>
      </w:r>
      <w:r w:rsidRPr="00951C44">
        <w:rPr>
          <w:rFonts w:ascii="Calibri" w:eastAsia="Calibri" w:hAnsi="Calibri" w:cs="Calibri" w:hint="cs"/>
          <w:b w:val="0"/>
          <w:bCs w:val="0"/>
          <w:color w:val="806000" w:themeColor="accent4" w:themeShade="80"/>
          <w:sz w:val="32"/>
          <w:szCs w:val="32"/>
          <w:u w:val="single"/>
          <w:rtl/>
        </w:rPr>
        <w:t>:</w:t>
      </w:r>
    </w:p>
    <w:p w14:paraId="77246E21" w14:textId="39D94C58" w:rsidR="009F359F" w:rsidRDefault="009F359F" w:rsidP="009F359F">
      <w:pPr>
        <w:spacing w:line="276" w:lineRule="auto"/>
        <w:rPr>
          <w:rFonts w:eastAsia="Times New Roman" w:cstheme="minorHAnsi"/>
          <w:color w:val="202124"/>
          <w:sz w:val="24"/>
          <w:szCs w:val="24"/>
          <w:lang w:val="en"/>
        </w:rPr>
      </w:pPr>
      <w:r w:rsidRPr="009F359F">
        <w:rPr>
          <w:rFonts w:eastAsia="Times New Roman" w:cstheme="minorHAnsi"/>
          <w:color w:val="202124"/>
          <w:sz w:val="24"/>
          <w:szCs w:val="24"/>
          <w:lang w:val="en"/>
        </w:rPr>
        <w:t xml:space="preserve">Total RNA was obtained from two healthy adult mice, and its quality was tested using an Agilent fragment analyzer system. Total RNA was then separated into two groups for the development of RNase R and A-tailing/RNase R libraries. RNA was initially incubated at 37 °C with 20 U l1 of RNase R, followed by 5 U l1 of poly(A) polymerase (NEB) to add an extra poly(A) </w:t>
      </w:r>
      <w:proofErr w:type="gramStart"/>
      <w:r w:rsidRPr="00A20B37">
        <w:rPr>
          <w:rFonts w:eastAsia="Times New Roman" w:cstheme="minorHAnsi"/>
          <w:color w:val="202124"/>
          <w:sz w:val="24"/>
          <w:szCs w:val="24"/>
          <w:lang w:val="en"/>
        </w:rPr>
        <w:lastRenderedPageBreak/>
        <w:t>tail</w:t>
      </w:r>
      <w:r>
        <w:rPr>
          <w:rFonts w:eastAsia="Times New Roman" w:cstheme="minorHAnsi"/>
          <w:color w:val="202124"/>
          <w:sz w:val="24"/>
          <w:szCs w:val="24"/>
          <w:lang w:val="en"/>
        </w:rPr>
        <w:t xml:space="preserve"> </w:t>
      </w:r>
      <w:r w:rsidR="00A20B37">
        <w:rPr>
          <w:rFonts w:eastAsia="Times New Roman" w:cstheme="minorHAnsi"/>
          <w:color w:val="202124"/>
          <w:sz w:val="24"/>
          <w:szCs w:val="24"/>
          <w:lang w:val="en"/>
        </w:rPr>
        <w:t>.</w:t>
      </w:r>
      <w:r w:rsidR="00394439" w:rsidRPr="00394439">
        <w:rPr>
          <w:rFonts w:eastAsia="Times New Roman" w:cstheme="minorHAnsi"/>
          <w:color w:val="202124"/>
          <w:sz w:val="24"/>
          <w:szCs w:val="24"/>
          <w:lang w:val="en"/>
        </w:rPr>
        <w:t>Next</w:t>
      </w:r>
      <w:proofErr w:type="gramEnd"/>
      <w:r w:rsidR="00394439" w:rsidRPr="00394439">
        <w:rPr>
          <w:rFonts w:eastAsia="Times New Roman" w:cstheme="minorHAnsi"/>
          <w:color w:val="202124"/>
          <w:sz w:val="24"/>
          <w:szCs w:val="24"/>
          <w:lang w:val="en"/>
        </w:rPr>
        <w:t xml:space="preserve">, </w:t>
      </w:r>
      <w:proofErr w:type="spellStart"/>
      <w:r w:rsidRPr="009F359F">
        <w:rPr>
          <w:rFonts w:eastAsia="Times New Roman" w:cstheme="minorHAnsi"/>
          <w:color w:val="202124"/>
          <w:sz w:val="24"/>
          <w:szCs w:val="24"/>
          <w:lang w:val="en"/>
        </w:rPr>
        <w:t>SMARTer</w:t>
      </w:r>
      <w:proofErr w:type="spellEnd"/>
      <w:r w:rsidRPr="009F359F">
        <w:rPr>
          <w:rFonts w:eastAsia="Times New Roman" w:cstheme="minorHAnsi"/>
          <w:color w:val="202124"/>
          <w:sz w:val="24"/>
          <w:szCs w:val="24"/>
          <w:lang w:val="en"/>
        </w:rPr>
        <w:t xml:space="preserve"> or Maxima reverse transcriptase was used to reverse transcribe RNase R-</w:t>
      </w:r>
      <w:proofErr w:type="spellStart"/>
      <w:r w:rsidRPr="009F359F">
        <w:rPr>
          <w:rFonts w:eastAsia="Times New Roman" w:cstheme="minorHAnsi"/>
          <w:color w:val="202124"/>
          <w:sz w:val="24"/>
          <w:szCs w:val="24"/>
          <w:lang w:val="en"/>
        </w:rPr>
        <w:t>treatedRNA</w:t>
      </w:r>
      <w:proofErr w:type="spellEnd"/>
      <w:r w:rsidRPr="009F359F">
        <w:rPr>
          <w:rFonts w:eastAsia="Times New Roman" w:cstheme="minorHAnsi"/>
          <w:color w:val="202124"/>
          <w:sz w:val="24"/>
          <w:szCs w:val="24"/>
          <w:lang w:val="en"/>
        </w:rPr>
        <w:t>.</w:t>
      </w:r>
      <w:r>
        <w:rPr>
          <w:rFonts w:eastAsia="Times New Roman" w:cstheme="minorHAnsi"/>
          <w:color w:val="202124"/>
          <w:sz w:val="24"/>
          <w:szCs w:val="24"/>
          <w:lang w:val="en"/>
        </w:rPr>
        <w:t xml:space="preserve"> </w:t>
      </w:r>
      <w:r w:rsidRPr="009F359F">
        <w:rPr>
          <w:rFonts w:eastAsia="Times New Roman" w:cstheme="minorHAnsi"/>
          <w:color w:val="202124"/>
          <w:sz w:val="24"/>
          <w:szCs w:val="24"/>
          <w:lang w:val="en"/>
        </w:rPr>
        <w:t>After</w:t>
      </w:r>
      <w:r>
        <w:rPr>
          <w:rFonts w:eastAsia="Times New Roman" w:cstheme="minorHAnsi"/>
          <w:color w:val="202124"/>
          <w:sz w:val="24"/>
          <w:szCs w:val="24"/>
          <w:lang w:val="en"/>
        </w:rPr>
        <w:t xml:space="preserve"> </w:t>
      </w:r>
      <w:r w:rsidRPr="009F359F">
        <w:rPr>
          <w:rFonts w:eastAsia="Times New Roman" w:cstheme="minorHAnsi"/>
          <w:color w:val="202124"/>
          <w:sz w:val="24"/>
          <w:szCs w:val="24"/>
          <w:lang w:val="en"/>
        </w:rPr>
        <w:t xml:space="preserve">replacing the 3′ SMART CDS primer II A 5′-AAGCAGTGGTATCAACGCAGAGTACT(30)N-1N-3′with5′-AAGCAGTGGTATCAACGCAGAGTACNNNNNN-3′, 3.5 l of RNA and 1 l of </w:t>
      </w:r>
      <w:proofErr w:type="spellStart"/>
      <w:r w:rsidRPr="009F359F">
        <w:rPr>
          <w:rFonts w:eastAsia="Times New Roman" w:cstheme="minorHAnsi"/>
          <w:color w:val="202124"/>
          <w:sz w:val="24"/>
          <w:szCs w:val="24"/>
          <w:lang w:val="en"/>
        </w:rPr>
        <w:t>SMARTer</w:t>
      </w:r>
      <w:proofErr w:type="spellEnd"/>
      <w:r w:rsidRPr="009F359F">
        <w:rPr>
          <w:rFonts w:eastAsia="Times New Roman" w:cstheme="minorHAnsi"/>
          <w:color w:val="202124"/>
          <w:sz w:val="24"/>
          <w:szCs w:val="24"/>
          <w:lang w:val="en"/>
        </w:rPr>
        <w:t xml:space="preserve"> CDS random primer (12 M) were combined and incubated at 72 °C for 3 min and 25 °C for 10 min and maintained at 42 °C</w:t>
      </w:r>
      <w:r>
        <w:rPr>
          <w:rFonts w:eastAsia="Times New Roman" w:cstheme="minorHAnsi"/>
          <w:color w:val="202124"/>
          <w:sz w:val="24"/>
          <w:szCs w:val="24"/>
          <w:lang w:val="en"/>
        </w:rPr>
        <w:t xml:space="preserve"> </w:t>
      </w:r>
      <w:r w:rsidR="00394439" w:rsidRPr="00394439">
        <w:rPr>
          <w:rFonts w:eastAsia="Times New Roman" w:cstheme="minorHAnsi"/>
          <w:color w:val="202124"/>
          <w:sz w:val="24"/>
          <w:szCs w:val="24"/>
          <w:lang w:val="en"/>
        </w:rPr>
        <w:t>And operations are continuing to know more visit the link (</w:t>
      </w:r>
      <w:hyperlink r:id="rId8" w:history="1">
        <w:r w:rsidRPr="00296F4A">
          <w:rPr>
            <w:rStyle w:val="Hyperlink"/>
            <w:lang w:val="en"/>
          </w:rPr>
          <w:t>https://ciri-cookbook.readthedocs.io/en/latest/CIRI-long_sequencing.html</w:t>
        </w:r>
      </w:hyperlink>
      <w:r w:rsidR="00394439" w:rsidRPr="00394439">
        <w:rPr>
          <w:rFonts w:eastAsia="Times New Roman" w:cstheme="minorHAnsi"/>
          <w:color w:val="202124"/>
          <w:sz w:val="24"/>
          <w:szCs w:val="24"/>
          <w:lang w:val="en"/>
        </w:rPr>
        <w:t>)</w:t>
      </w:r>
      <w:r>
        <w:rPr>
          <w:rFonts w:eastAsia="Times New Roman" w:cstheme="minorHAnsi"/>
          <w:color w:val="202124"/>
          <w:sz w:val="24"/>
          <w:szCs w:val="24"/>
          <w:lang w:val="en"/>
        </w:rPr>
        <w:t>.</w:t>
      </w:r>
    </w:p>
    <w:p w14:paraId="67D0FF87" w14:textId="0850780C" w:rsidR="009F359F" w:rsidRPr="00951C44" w:rsidRDefault="009F359F" w:rsidP="009F359F">
      <w:pPr>
        <w:pStyle w:val="Heading3"/>
        <w:shd w:val="clear" w:color="auto" w:fill="FFFFFF"/>
        <w:spacing w:before="0" w:beforeAutospacing="0" w:after="120" w:afterAutospacing="0"/>
        <w:jc w:val="both"/>
        <w:rPr>
          <w:rFonts w:ascii="Calibri" w:eastAsia="Calibri" w:hAnsi="Calibri" w:cs="Calibri"/>
          <w:b w:val="0"/>
          <w:bCs w:val="0"/>
          <w:color w:val="806000" w:themeColor="accent4" w:themeShade="80"/>
          <w:sz w:val="32"/>
          <w:szCs w:val="32"/>
          <w:u w:val="single"/>
        </w:rPr>
      </w:pPr>
      <w:r w:rsidRPr="00951C44">
        <w:rPr>
          <w:rFonts w:ascii="Calibri" w:eastAsia="Calibri" w:hAnsi="Calibri" w:cs="Calibri"/>
          <w:b w:val="0"/>
          <w:bCs w:val="0"/>
          <w:color w:val="806000" w:themeColor="accent4" w:themeShade="80"/>
          <w:sz w:val="32"/>
          <w:szCs w:val="32"/>
          <w:u w:val="single"/>
        </w:rPr>
        <w:t>Nanopore sequencing and base-calling</w:t>
      </w:r>
      <w:r w:rsidRPr="00951C44">
        <w:rPr>
          <w:rFonts w:ascii="Calibri" w:eastAsia="Calibri" w:hAnsi="Calibri" w:cs="Calibri"/>
          <w:b w:val="0"/>
          <w:bCs w:val="0"/>
          <w:color w:val="806000" w:themeColor="accent4" w:themeShade="80"/>
          <w:sz w:val="32"/>
          <w:szCs w:val="32"/>
          <w:u w:val="single"/>
        </w:rPr>
        <w:t>:</w:t>
      </w:r>
    </w:p>
    <w:p w14:paraId="121A1178" w14:textId="422269D0" w:rsidR="009F359F" w:rsidRDefault="009F359F" w:rsidP="002806A2">
      <w:pPr>
        <w:pStyle w:val="Heading3"/>
        <w:shd w:val="clear" w:color="auto" w:fill="FFFFFF"/>
        <w:spacing w:before="0" w:beforeAutospacing="0" w:after="120" w:afterAutospacing="0"/>
        <w:rPr>
          <w:rFonts w:asciiTheme="minorHAnsi" w:hAnsiTheme="minorHAnsi" w:cstheme="minorHAnsi"/>
          <w:b w:val="0"/>
          <w:bCs w:val="0"/>
          <w:color w:val="202124"/>
          <w:sz w:val="24"/>
          <w:szCs w:val="24"/>
          <w:rtl/>
          <w:lang w:val="en"/>
        </w:rPr>
      </w:pPr>
      <w:r w:rsidRPr="0007283A">
        <w:rPr>
          <w:rFonts w:asciiTheme="minorHAnsi" w:hAnsiTheme="minorHAnsi" w:cstheme="minorHAnsi"/>
          <w:b w:val="0"/>
          <w:bCs w:val="0"/>
          <w:color w:val="202124"/>
          <w:sz w:val="24"/>
          <w:szCs w:val="24"/>
          <w:lang w:val="en"/>
        </w:rPr>
        <w:t xml:space="preserve">cDNA libraries were generated using the ONT technique SQK-LSK109 and barcoded using EXP-NBD104 and EXP-NBD114 kits, and nanopore sequencing was done on the </w:t>
      </w:r>
      <w:proofErr w:type="spellStart"/>
      <w:r w:rsidRPr="0007283A">
        <w:rPr>
          <w:rFonts w:asciiTheme="minorHAnsi" w:hAnsiTheme="minorHAnsi" w:cstheme="minorHAnsi"/>
          <w:b w:val="0"/>
          <w:bCs w:val="0"/>
          <w:color w:val="202124"/>
          <w:sz w:val="24"/>
          <w:szCs w:val="24"/>
          <w:lang w:val="en"/>
        </w:rPr>
        <w:t>MinION</w:t>
      </w:r>
      <w:proofErr w:type="spellEnd"/>
      <w:r w:rsidRPr="0007283A">
        <w:rPr>
          <w:rFonts w:asciiTheme="minorHAnsi" w:hAnsiTheme="minorHAnsi" w:cstheme="minorHAnsi"/>
          <w:b w:val="0"/>
          <w:bCs w:val="0"/>
          <w:color w:val="202124"/>
          <w:sz w:val="24"/>
          <w:szCs w:val="24"/>
          <w:lang w:val="en"/>
        </w:rPr>
        <w:t xml:space="preserve"> (MN26543) platform using a FLO-MIN106 flow </w:t>
      </w:r>
      <w:proofErr w:type="spellStart"/>
      <w:proofErr w:type="gramStart"/>
      <w:r w:rsidRPr="0007283A">
        <w:rPr>
          <w:rFonts w:asciiTheme="minorHAnsi" w:hAnsiTheme="minorHAnsi" w:cstheme="minorHAnsi"/>
          <w:b w:val="0"/>
          <w:bCs w:val="0"/>
          <w:color w:val="202124"/>
          <w:sz w:val="24"/>
          <w:szCs w:val="24"/>
          <w:lang w:val="en"/>
        </w:rPr>
        <w:t>cell.You</w:t>
      </w:r>
      <w:proofErr w:type="spellEnd"/>
      <w:proofErr w:type="gramEnd"/>
      <w:r w:rsidRPr="0007283A">
        <w:rPr>
          <w:rFonts w:asciiTheme="minorHAnsi" w:hAnsiTheme="minorHAnsi" w:cstheme="minorHAnsi"/>
          <w:b w:val="0"/>
          <w:bCs w:val="0"/>
          <w:color w:val="202124"/>
          <w:sz w:val="24"/>
          <w:szCs w:val="24"/>
          <w:lang w:val="en"/>
        </w:rPr>
        <w:t xml:space="preserve"> can take a peek </w:t>
      </w:r>
      <w:r w:rsidR="0007283A">
        <w:rPr>
          <w:rFonts w:asciiTheme="minorHAnsi" w:hAnsiTheme="minorHAnsi" w:cstheme="minorHAnsi"/>
          <w:b w:val="0"/>
          <w:bCs w:val="0"/>
          <w:color w:val="202124"/>
          <w:sz w:val="24"/>
          <w:szCs w:val="24"/>
          <w:lang w:val="en"/>
        </w:rPr>
        <w:t xml:space="preserve">at </w:t>
      </w:r>
      <w:r w:rsidR="0007283A" w:rsidRPr="0007283A">
        <w:rPr>
          <w:rFonts w:asciiTheme="minorHAnsi" w:hAnsiTheme="minorHAnsi" w:cstheme="minorHAnsi"/>
          <w:b w:val="0"/>
          <w:bCs w:val="0"/>
          <w:color w:val="202124"/>
          <w:sz w:val="24"/>
          <w:szCs w:val="24"/>
          <w:lang w:val="en"/>
        </w:rPr>
        <w:t>(</w:t>
      </w:r>
      <w:hyperlink r:id="rId9" w:history="1">
        <w:r w:rsidR="002806A2" w:rsidRPr="00A20B37">
          <w:rPr>
            <w:rStyle w:val="Hyperlink"/>
            <w:rFonts w:eastAsiaTheme="minorEastAsia" w:cstheme="minorBidi"/>
            <w:b w:val="0"/>
            <w:bCs w:val="0"/>
            <w:sz w:val="22"/>
            <w:szCs w:val="22"/>
            <w:lang w:val="en"/>
          </w:rPr>
          <w:t>https://github.com/rrwick/MinION-desktop</w:t>
        </w:r>
      </w:hyperlink>
      <w:r w:rsidR="0007283A" w:rsidRPr="0007283A">
        <w:rPr>
          <w:rFonts w:asciiTheme="minorHAnsi" w:hAnsiTheme="minorHAnsi" w:cstheme="minorHAnsi"/>
          <w:b w:val="0"/>
          <w:bCs w:val="0"/>
          <w:color w:val="202124"/>
          <w:sz w:val="24"/>
          <w:szCs w:val="24"/>
          <w:lang w:val="en"/>
        </w:rPr>
        <w:t>)</w:t>
      </w:r>
    </w:p>
    <w:p w14:paraId="363B8701" w14:textId="1BF689EC" w:rsidR="002806A2" w:rsidRPr="00951C44" w:rsidRDefault="002806A2" w:rsidP="002806A2">
      <w:pPr>
        <w:pStyle w:val="Heading3"/>
        <w:shd w:val="clear" w:color="auto" w:fill="FFFFFF"/>
        <w:spacing w:before="0" w:beforeAutospacing="0" w:after="120" w:afterAutospacing="0"/>
        <w:jc w:val="both"/>
        <w:rPr>
          <w:rFonts w:ascii="Calibri" w:eastAsia="Calibri" w:hAnsi="Calibri" w:cs="Calibri"/>
          <w:b w:val="0"/>
          <w:bCs w:val="0"/>
          <w:color w:val="806000" w:themeColor="accent4" w:themeShade="80"/>
          <w:sz w:val="32"/>
          <w:szCs w:val="32"/>
          <w:u w:val="single"/>
        </w:rPr>
      </w:pPr>
      <w:r w:rsidRPr="00951C44">
        <w:rPr>
          <w:rFonts w:ascii="Calibri" w:eastAsia="Calibri" w:hAnsi="Calibri" w:cs="Calibri"/>
          <w:b w:val="0"/>
          <w:bCs w:val="0"/>
          <w:color w:val="806000" w:themeColor="accent4" w:themeShade="80"/>
          <w:sz w:val="32"/>
          <w:szCs w:val="32"/>
          <w:u w:val="single"/>
        </w:rPr>
        <w:t>Adapter trimming and alignment</w:t>
      </w:r>
      <w:r w:rsidRPr="00951C44">
        <w:rPr>
          <w:rFonts w:ascii="Calibri" w:eastAsia="Calibri" w:hAnsi="Calibri" w:cs="Calibri" w:hint="cs"/>
          <w:b w:val="0"/>
          <w:bCs w:val="0"/>
          <w:color w:val="806000" w:themeColor="accent4" w:themeShade="80"/>
          <w:sz w:val="32"/>
          <w:szCs w:val="32"/>
          <w:u w:val="single"/>
          <w:rtl/>
        </w:rPr>
        <w:t>:</w:t>
      </w:r>
    </w:p>
    <w:p w14:paraId="5C15D2D6" w14:textId="72D0E3FC" w:rsidR="002806A2" w:rsidRDefault="002806A2" w:rsidP="002806A2">
      <w:pPr>
        <w:pStyle w:val="Heading3"/>
        <w:shd w:val="clear" w:color="auto" w:fill="FFFFFF"/>
        <w:spacing w:before="0" w:beforeAutospacing="0" w:after="120" w:afterAutospacing="0"/>
        <w:jc w:val="both"/>
        <w:rPr>
          <w:rFonts w:asciiTheme="minorHAnsi" w:hAnsiTheme="minorHAnsi" w:cstheme="minorHAnsi"/>
          <w:b w:val="0"/>
          <w:bCs w:val="0"/>
          <w:color w:val="202124"/>
          <w:sz w:val="24"/>
          <w:szCs w:val="24"/>
          <w:lang w:val="en"/>
        </w:rPr>
      </w:pPr>
      <w:r w:rsidRPr="002806A2">
        <w:rPr>
          <w:rFonts w:asciiTheme="minorHAnsi" w:hAnsiTheme="minorHAnsi" w:cstheme="minorHAnsi"/>
          <w:b w:val="0"/>
          <w:bCs w:val="0"/>
          <w:color w:val="202124"/>
          <w:sz w:val="24"/>
          <w:szCs w:val="24"/>
          <w:lang w:val="en"/>
        </w:rPr>
        <w:t xml:space="preserve">pycoQC44 was used to do quality control on base-called raw readings (v2.5.0.14). To eliminate barcodes and adapters, reads were trimmed with </w:t>
      </w:r>
      <w:proofErr w:type="spellStart"/>
      <w:r w:rsidRPr="002806A2">
        <w:rPr>
          <w:rFonts w:asciiTheme="minorHAnsi" w:hAnsiTheme="minorHAnsi" w:cstheme="minorHAnsi"/>
          <w:b w:val="0"/>
          <w:bCs w:val="0"/>
          <w:color w:val="202124"/>
          <w:sz w:val="24"/>
          <w:szCs w:val="24"/>
          <w:lang w:val="en"/>
        </w:rPr>
        <w:t>Porechop</w:t>
      </w:r>
      <w:proofErr w:type="spellEnd"/>
      <w:r w:rsidRPr="002806A2">
        <w:rPr>
          <w:rFonts w:asciiTheme="minorHAnsi" w:hAnsiTheme="minorHAnsi" w:cstheme="minorHAnsi"/>
          <w:b w:val="0"/>
          <w:bCs w:val="0"/>
          <w:color w:val="202124"/>
          <w:sz w:val="24"/>
          <w:szCs w:val="24"/>
          <w:lang w:val="en"/>
        </w:rPr>
        <w:t xml:space="preserve"> v2.0.4 (</w:t>
      </w:r>
      <w:r w:rsidRPr="00A20B37">
        <w:rPr>
          <w:rStyle w:val="Hyperlink"/>
          <w:rFonts w:eastAsiaTheme="minorEastAsia" w:cstheme="minorBidi"/>
          <w:b w:val="0"/>
          <w:bCs w:val="0"/>
          <w:sz w:val="22"/>
          <w:szCs w:val="22"/>
          <w:lang w:val="en"/>
        </w:rPr>
        <w:t>https://github.com/rrwick/Porechop</w:t>
      </w:r>
      <w:r w:rsidRPr="002806A2">
        <w:rPr>
          <w:rFonts w:asciiTheme="minorHAnsi" w:hAnsiTheme="minorHAnsi" w:cstheme="minorHAnsi"/>
          <w:b w:val="0"/>
          <w:bCs w:val="0"/>
          <w:color w:val="202124"/>
          <w:sz w:val="24"/>
          <w:szCs w:val="24"/>
          <w:lang w:val="en"/>
        </w:rPr>
        <w:t xml:space="preserve">) using manually selected </w:t>
      </w:r>
      <w:proofErr w:type="spellStart"/>
      <w:r w:rsidRPr="002806A2">
        <w:rPr>
          <w:rFonts w:asciiTheme="minorHAnsi" w:hAnsiTheme="minorHAnsi" w:cstheme="minorHAnsi"/>
          <w:b w:val="0"/>
          <w:bCs w:val="0"/>
          <w:color w:val="202124"/>
          <w:sz w:val="24"/>
          <w:szCs w:val="24"/>
          <w:lang w:val="en"/>
        </w:rPr>
        <w:t>SMARTer</w:t>
      </w:r>
      <w:proofErr w:type="spellEnd"/>
      <w:r w:rsidRPr="002806A2">
        <w:rPr>
          <w:rFonts w:asciiTheme="minorHAnsi" w:hAnsiTheme="minorHAnsi" w:cstheme="minorHAnsi"/>
          <w:b w:val="0"/>
          <w:bCs w:val="0"/>
          <w:color w:val="202124"/>
          <w:sz w:val="24"/>
          <w:szCs w:val="24"/>
          <w:lang w:val="en"/>
        </w:rPr>
        <w:t xml:space="preserve"> adapter sequences (AAGCAGTGGTATCAACGCAGAGTAC and GTACTCTGCGTTGATACCACTGCTT).</w:t>
      </w:r>
    </w:p>
    <w:p w14:paraId="23F05861" w14:textId="526DE1F3" w:rsidR="00140881" w:rsidRPr="00951C44" w:rsidRDefault="00140881" w:rsidP="00140881">
      <w:pPr>
        <w:pStyle w:val="Heading3"/>
        <w:shd w:val="clear" w:color="auto" w:fill="FFFFFF"/>
        <w:spacing w:before="0" w:beforeAutospacing="0" w:after="120" w:afterAutospacing="0"/>
        <w:rPr>
          <w:rFonts w:ascii="Calibri" w:eastAsia="Calibri" w:hAnsi="Calibri" w:cs="Calibri"/>
          <w:b w:val="0"/>
          <w:bCs w:val="0"/>
          <w:color w:val="806000" w:themeColor="accent4" w:themeShade="80"/>
          <w:sz w:val="32"/>
          <w:szCs w:val="32"/>
          <w:u w:val="single"/>
        </w:rPr>
      </w:pPr>
      <w:r w:rsidRPr="00951C44">
        <w:rPr>
          <w:rFonts w:ascii="Calibri" w:eastAsia="Calibri" w:hAnsi="Calibri" w:cs="Calibri"/>
          <w:b w:val="0"/>
          <w:bCs w:val="0"/>
          <w:color w:val="806000" w:themeColor="accent4" w:themeShade="80"/>
          <w:sz w:val="32"/>
          <w:szCs w:val="32"/>
          <w:u w:val="single"/>
        </w:rPr>
        <w:t>Northern blotting</w:t>
      </w:r>
      <w:r w:rsidRPr="00951C44">
        <w:rPr>
          <w:rFonts w:ascii="Calibri" w:eastAsia="Calibri" w:hAnsi="Calibri" w:cs="Calibri"/>
          <w:b w:val="0"/>
          <w:bCs w:val="0"/>
          <w:color w:val="806000" w:themeColor="accent4" w:themeShade="80"/>
          <w:sz w:val="32"/>
          <w:szCs w:val="32"/>
          <w:u w:val="single"/>
        </w:rPr>
        <w:t>:</w:t>
      </w:r>
    </w:p>
    <w:p w14:paraId="5C820A55" w14:textId="5CD271D4" w:rsidR="00140881" w:rsidRDefault="00140881" w:rsidP="00140881">
      <w:pPr>
        <w:pStyle w:val="Heading3"/>
        <w:shd w:val="clear" w:color="auto" w:fill="FFFFFF"/>
        <w:spacing w:before="0" w:beforeAutospacing="0" w:after="120" w:afterAutospacing="0"/>
        <w:rPr>
          <w:rFonts w:asciiTheme="minorHAnsi" w:hAnsiTheme="minorHAnsi" w:cstheme="minorHAnsi"/>
          <w:b w:val="0"/>
          <w:bCs w:val="0"/>
          <w:color w:val="202124"/>
          <w:sz w:val="24"/>
          <w:szCs w:val="24"/>
          <w:lang w:val="en"/>
        </w:rPr>
      </w:pPr>
      <w:proofErr w:type="spellStart"/>
      <w:r w:rsidRPr="00140881">
        <w:rPr>
          <w:rFonts w:asciiTheme="minorHAnsi" w:hAnsiTheme="minorHAnsi" w:cstheme="minorHAnsi"/>
          <w:b w:val="0"/>
          <w:bCs w:val="0"/>
          <w:color w:val="202124"/>
          <w:sz w:val="24"/>
          <w:szCs w:val="24"/>
          <w:lang w:val="en"/>
        </w:rPr>
        <w:t>TRIzol</w:t>
      </w:r>
      <w:proofErr w:type="spellEnd"/>
      <w:r w:rsidRPr="00140881">
        <w:rPr>
          <w:rFonts w:asciiTheme="minorHAnsi" w:hAnsiTheme="minorHAnsi" w:cstheme="minorHAnsi"/>
          <w:b w:val="0"/>
          <w:bCs w:val="0"/>
          <w:color w:val="202124"/>
          <w:sz w:val="24"/>
          <w:szCs w:val="24"/>
          <w:lang w:val="en"/>
        </w:rPr>
        <w:t xml:space="preserve"> was used to separate RNA from adult mouse brain tissues, which was then treated with or without RNase R. RNA samples were electrophoresed in 8 percent denaturing urea polyacrylamide gel and transferred to </w:t>
      </w:r>
      <w:proofErr w:type="spellStart"/>
      <w:r w:rsidRPr="00140881">
        <w:rPr>
          <w:rFonts w:asciiTheme="minorHAnsi" w:hAnsiTheme="minorHAnsi" w:cstheme="minorHAnsi"/>
          <w:b w:val="0"/>
          <w:bCs w:val="0"/>
          <w:color w:val="202124"/>
          <w:sz w:val="24"/>
          <w:szCs w:val="24"/>
          <w:lang w:val="en"/>
        </w:rPr>
        <w:t>Hybond</w:t>
      </w:r>
      <w:proofErr w:type="spellEnd"/>
      <w:r w:rsidRPr="00140881">
        <w:rPr>
          <w:rFonts w:asciiTheme="minorHAnsi" w:hAnsiTheme="minorHAnsi" w:cstheme="minorHAnsi"/>
          <w:b w:val="0"/>
          <w:bCs w:val="0"/>
          <w:color w:val="202124"/>
          <w:sz w:val="24"/>
          <w:szCs w:val="24"/>
          <w:lang w:val="en"/>
        </w:rPr>
        <w:t xml:space="preserve">-N+ nylon membranes (GE). The RNA signal was finally detected </w:t>
      </w:r>
      <w:proofErr w:type="spellStart"/>
      <w:r w:rsidRPr="00140881">
        <w:rPr>
          <w:rFonts w:asciiTheme="minorHAnsi" w:hAnsiTheme="minorHAnsi" w:cstheme="minorHAnsi"/>
          <w:b w:val="0"/>
          <w:bCs w:val="0"/>
          <w:color w:val="202124"/>
          <w:sz w:val="24"/>
          <w:szCs w:val="24"/>
          <w:lang w:val="en"/>
        </w:rPr>
        <w:t>utilising</w:t>
      </w:r>
      <w:proofErr w:type="spellEnd"/>
      <w:r w:rsidRPr="00140881">
        <w:rPr>
          <w:rFonts w:asciiTheme="minorHAnsi" w:hAnsiTheme="minorHAnsi" w:cstheme="minorHAnsi"/>
          <w:b w:val="0"/>
          <w:bCs w:val="0"/>
          <w:color w:val="202124"/>
          <w:sz w:val="24"/>
          <w:szCs w:val="24"/>
          <w:lang w:val="en"/>
        </w:rPr>
        <w:t xml:space="preserve"> the Chemiluminescent Nucleic Acid Detection Module (Thermo Fisher Scientific)</w:t>
      </w:r>
      <w:r w:rsidR="00A20B37">
        <w:rPr>
          <w:rFonts w:asciiTheme="minorHAnsi" w:hAnsiTheme="minorHAnsi" w:cstheme="minorHAnsi"/>
          <w:b w:val="0"/>
          <w:bCs w:val="0"/>
          <w:color w:val="202124"/>
          <w:sz w:val="24"/>
          <w:szCs w:val="24"/>
          <w:lang w:val="en"/>
        </w:rPr>
        <w:t>.</w:t>
      </w:r>
    </w:p>
    <w:p w14:paraId="11F4B226" w14:textId="3F7C7EFE" w:rsidR="00A20B37" w:rsidRDefault="00A20B37" w:rsidP="00A20B37">
      <w:pPr>
        <w:pStyle w:val="Heading3"/>
        <w:shd w:val="clear" w:color="auto" w:fill="FFFFFF"/>
        <w:spacing w:before="0" w:beforeAutospacing="0" w:after="120" w:afterAutospacing="0"/>
        <w:rPr>
          <w:rFonts w:ascii="Calibri" w:eastAsia="Calibri" w:hAnsi="Calibri" w:cs="Calibri"/>
          <w:b w:val="0"/>
          <w:bCs w:val="0"/>
          <w:color w:val="806000" w:themeColor="accent4" w:themeShade="80"/>
          <w:sz w:val="32"/>
          <w:szCs w:val="32"/>
          <w:u w:val="single"/>
        </w:rPr>
      </w:pPr>
      <w:r w:rsidRPr="00951C44">
        <w:rPr>
          <w:rFonts w:ascii="Calibri" w:eastAsia="Calibri" w:hAnsi="Calibri" w:cs="Calibri"/>
          <w:b w:val="0"/>
          <w:bCs w:val="0"/>
          <w:color w:val="806000" w:themeColor="accent4" w:themeShade="80"/>
          <w:sz w:val="32"/>
          <w:szCs w:val="32"/>
          <w:u w:val="single"/>
        </w:rPr>
        <w:t>Quantitative PCR validation</w:t>
      </w:r>
      <w:r w:rsidRPr="00951C44">
        <w:rPr>
          <w:rFonts w:ascii="Calibri" w:eastAsia="Calibri" w:hAnsi="Calibri" w:cs="Calibri"/>
          <w:b w:val="0"/>
          <w:bCs w:val="0"/>
          <w:color w:val="806000" w:themeColor="accent4" w:themeShade="80"/>
          <w:sz w:val="32"/>
          <w:szCs w:val="32"/>
          <w:u w:val="single"/>
        </w:rPr>
        <w:t>:</w:t>
      </w:r>
    </w:p>
    <w:p w14:paraId="2620A03B" w14:textId="34CD6726" w:rsidR="002A66D1" w:rsidRPr="002A66D1" w:rsidRDefault="002A66D1" w:rsidP="00A20B37">
      <w:pPr>
        <w:pStyle w:val="Heading3"/>
        <w:shd w:val="clear" w:color="auto" w:fill="FFFFFF"/>
        <w:spacing w:before="0" w:beforeAutospacing="0" w:after="120" w:afterAutospacing="0"/>
        <w:rPr>
          <w:rFonts w:asciiTheme="minorHAnsi" w:hAnsiTheme="minorHAnsi" w:cstheme="minorHAnsi"/>
          <w:b w:val="0"/>
          <w:bCs w:val="0"/>
          <w:color w:val="202124"/>
          <w:sz w:val="24"/>
          <w:szCs w:val="24"/>
          <w:lang w:val="en"/>
        </w:rPr>
      </w:pPr>
      <w:r w:rsidRPr="002A66D1">
        <w:rPr>
          <w:rFonts w:asciiTheme="minorHAnsi" w:hAnsiTheme="minorHAnsi" w:cstheme="minorHAnsi"/>
          <w:b w:val="0"/>
          <w:bCs w:val="0"/>
          <w:color w:val="202124"/>
          <w:sz w:val="24"/>
          <w:szCs w:val="24"/>
          <w:lang w:val="en"/>
        </w:rPr>
        <w:t xml:space="preserve">To assess the reliability of </w:t>
      </w:r>
      <w:proofErr w:type="spellStart"/>
      <w:proofErr w:type="gramStart"/>
      <w:r w:rsidRPr="002A66D1">
        <w:rPr>
          <w:rFonts w:asciiTheme="minorHAnsi" w:hAnsiTheme="minorHAnsi" w:cstheme="minorHAnsi"/>
          <w:b w:val="0"/>
          <w:bCs w:val="0"/>
          <w:color w:val="202124"/>
          <w:sz w:val="24"/>
          <w:szCs w:val="24"/>
          <w:lang w:val="en"/>
        </w:rPr>
        <w:t>circRNA</w:t>
      </w:r>
      <w:proofErr w:type="spellEnd"/>
      <w:r w:rsidRPr="002A66D1">
        <w:rPr>
          <w:rFonts w:asciiTheme="minorHAnsi" w:hAnsiTheme="minorHAnsi" w:cstheme="minorHAnsi"/>
          <w:b w:val="0"/>
          <w:bCs w:val="0"/>
          <w:color w:val="202124"/>
          <w:sz w:val="24"/>
          <w:szCs w:val="24"/>
          <w:lang w:val="en"/>
        </w:rPr>
        <w:t xml:space="preserve">  quantification</w:t>
      </w:r>
      <w:proofErr w:type="gramEnd"/>
      <w:r w:rsidRPr="002A66D1">
        <w:rPr>
          <w:rFonts w:asciiTheme="minorHAnsi" w:hAnsiTheme="minorHAnsi" w:cstheme="minorHAnsi"/>
          <w:b w:val="0"/>
          <w:bCs w:val="0"/>
          <w:color w:val="202124"/>
          <w:sz w:val="24"/>
          <w:szCs w:val="24"/>
          <w:lang w:val="en"/>
        </w:rPr>
        <w:t xml:space="preserve"> using nanopore sequencing data, outward divergent primer sets (</w:t>
      </w:r>
      <w:r w:rsidRPr="002A66D1">
        <w:rPr>
          <w:rFonts w:asciiTheme="minorHAnsi" w:hAnsiTheme="minorHAnsi" w:cstheme="minorHAnsi"/>
          <w:b w:val="0"/>
          <w:bCs w:val="0"/>
          <w:color w:val="2F5496" w:themeColor="accent1" w:themeShade="BF"/>
          <w:sz w:val="24"/>
          <w:szCs w:val="24"/>
          <w:lang w:val="en"/>
        </w:rPr>
        <w:t>Supplemental Table</w:t>
      </w:r>
      <w:r w:rsidRPr="002A66D1">
        <w:rPr>
          <w:rFonts w:asciiTheme="minorHAnsi" w:hAnsiTheme="minorHAnsi" w:cstheme="minorHAnsi"/>
          <w:b w:val="0"/>
          <w:bCs w:val="0"/>
          <w:color w:val="202124"/>
          <w:sz w:val="24"/>
          <w:szCs w:val="24"/>
          <w:lang w:val="en"/>
        </w:rPr>
        <w:t xml:space="preserve"> </w:t>
      </w:r>
      <w:r w:rsidRPr="002A66D1">
        <w:rPr>
          <w:rFonts w:asciiTheme="minorHAnsi" w:hAnsiTheme="minorHAnsi" w:cstheme="minorHAnsi"/>
          <w:b w:val="0"/>
          <w:bCs w:val="0"/>
          <w:color w:val="2F5496" w:themeColor="accent1" w:themeShade="BF"/>
          <w:sz w:val="24"/>
          <w:szCs w:val="24"/>
          <w:lang w:val="en"/>
        </w:rPr>
        <w:t>3</w:t>
      </w:r>
      <w:r w:rsidRPr="002A66D1">
        <w:rPr>
          <w:rFonts w:asciiTheme="minorHAnsi" w:hAnsiTheme="minorHAnsi" w:cstheme="minorHAnsi"/>
          <w:b w:val="0"/>
          <w:bCs w:val="0"/>
          <w:color w:val="202124"/>
          <w:sz w:val="24"/>
          <w:szCs w:val="24"/>
          <w:lang w:val="en"/>
        </w:rPr>
        <w:t xml:space="preserve">) were created to measure the expression of 16 randomly selected </w:t>
      </w:r>
      <w:proofErr w:type="spellStart"/>
      <w:r w:rsidRPr="002A66D1">
        <w:rPr>
          <w:rFonts w:asciiTheme="minorHAnsi" w:hAnsiTheme="minorHAnsi" w:cstheme="minorHAnsi"/>
          <w:b w:val="0"/>
          <w:bCs w:val="0"/>
          <w:color w:val="202124"/>
          <w:sz w:val="24"/>
          <w:szCs w:val="24"/>
          <w:lang w:val="en"/>
        </w:rPr>
        <w:t>circRNAs</w:t>
      </w:r>
      <w:proofErr w:type="spellEnd"/>
      <w:r w:rsidRPr="002A66D1">
        <w:rPr>
          <w:rFonts w:asciiTheme="minorHAnsi" w:hAnsiTheme="minorHAnsi" w:cstheme="minorHAnsi"/>
          <w:b w:val="0"/>
          <w:bCs w:val="0"/>
          <w:color w:val="202124"/>
          <w:sz w:val="24"/>
          <w:szCs w:val="24"/>
          <w:lang w:val="en"/>
        </w:rPr>
        <w:t xml:space="preserve"> with varying numbers of supported reads ranging from 200 to 30,000.RNase R and the reverse transcription kit mentioned above were used to produce cDNAs for quantitative real-time PCR. The Sanger sequencing method was used to determine the sequences of the PCR products (</w:t>
      </w:r>
      <w:r w:rsidRPr="002A66D1">
        <w:rPr>
          <w:rFonts w:asciiTheme="minorHAnsi" w:hAnsiTheme="minorHAnsi" w:cstheme="minorHAnsi"/>
          <w:b w:val="0"/>
          <w:bCs w:val="0"/>
          <w:color w:val="2F5496" w:themeColor="accent1" w:themeShade="BF"/>
          <w:sz w:val="24"/>
          <w:szCs w:val="24"/>
          <w:lang w:val="en"/>
        </w:rPr>
        <w:t>Supplementary Table 4</w:t>
      </w:r>
      <w:r w:rsidRPr="002A66D1">
        <w:rPr>
          <w:rFonts w:asciiTheme="minorHAnsi" w:hAnsiTheme="minorHAnsi" w:cstheme="minorHAnsi"/>
          <w:b w:val="0"/>
          <w:bCs w:val="0"/>
          <w:color w:val="202124"/>
          <w:sz w:val="24"/>
          <w:szCs w:val="24"/>
          <w:lang w:val="en"/>
        </w:rPr>
        <w:t xml:space="preserve">). In the BSJ sections of five </w:t>
      </w:r>
      <w:proofErr w:type="spellStart"/>
      <w:r w:rsidRPr="002A66D1">
        <w:rPr>
          <w:rFonts w:asciiTheme="minorHAnsi" w:hAnsiTheme="minorHAnsi" w:cstheme="minorHAnsi"/>
          <w:b w:val="0"/>
          <w:bCs w:val="0"/>
          <w:color w:val="202124"/>
          <w:sz w:val="24"/>
          <w:szCs w:val="24"/>
          <w:lang w:val="en"/>
        </w:rPr>
        <w:t>circRNAs</w:t>
      </w:r>
      <w:proofErr w:type="spellEnd"/>
      <w:r w:rsidRPr="002A66D1">
        <w:rPr>
          <w:rFonts w:asciiTheme="minorHAnsi" w:hAnsiTheme="minorHAnsi" w:cstheme="minorHAnsi"/>
          <w:b w:val="0"/>
          <w:bCs w:val="0"/>
          <w:color w:val="202124"/>
          <w:sz w:val="24"/>
          <w:szCs w:val="24"/>
          <w:lang w:val="en"/>
        </w:rPr>
        <w:t>, dual peaks or noises caused by homopolymers have been discovered (denoted as ‘ambiguous borders').</w:t>
      </w:r>
    </w:p>
    <w:p w14:paraId="1065B5D3" w14:textId="77777777" w:rsidR="00A20B37" w:rsidRPr="00140881" w:rsidRDefault="00A20B37" w:rsidP="00140881">
      <w:pPr>
        <w:pStyle w:val="Heading3"/>
        <w:shd w:val="clear" w:color="auto" w:fill="FFFFFF"/>
        <w:spacing w:before="0" w:beforeAutospacing="0" w:after="120" w:afterAutospacing="0"/>
        <w:rPr>
          <w:rFonts w:asciiTheme="minorHAnsi" w:hAnsiTheme="minorHAnsi" w:cstheme="minorHAnsi"/>
          <w:b w:val="0"/>
          <w:bCs w:val="0"/>
          <w:color w:val="202124"/>
          <w:sz w:val="24"/>
          <w:szCs w:val="24"/>
          <w:lang w:val="en"/>
        </w:rPr>
      </w:pPr>
    </w:p>
    <w:p w14:paraId="52C71F40" w14:textId="77777777" w:rsidR="00140881" w:rsidRPr="002806A2" w:rsidRDefault="00140881" w:rsidP="002806A2">
      <w:pPr>
        <w:pStyle w:val="Heading3"/>
        <w:shd w:val="clear" w:color="auto" w:fill="FFFFFF"/>
        <w:spacing w:before="0" w:beforeAutospacing="0" w:after="120" w:afterAutospacing="0"/>
        <w:jc w:val="both"/>
        <w:rPr>
          <w:rFonts w:asciiTheme="minorHAnsi" w:hAnsiTheme="minorHAnsi" w:cstheme="minorHAnsi"/>
          <w:b w:val="0"/>
          <w:bCs w:val="0"/>
          <w:color w:val="202124"/>
          <w:sz w:val="24"/>
          <w:szCs w:val="24"/>
          <w:lang w:val="en"/>
        </w:rPr>
      </w:pPr>
    </w:p>
    <w:p w14:paraId="058CF83F" w14:textId="77777777" w:rsidR="002806A2" w:rsidRPr="0007283A" w:rsidRDefault="002806A2" w:rsidP="002806A2">
      <w:pPr>
        <w:pStyle w:val="Heading3"/>
        <w:shd w:val="clear" w:color="auto" w:fill="FFFFFF"/>
        <w:spacing w:before="0" w:beforeAutospacing="0" w:after="120" w:afterAutospacing="0"/>
        <w:jc w:val="both"/>
        <w:rPr>
          <w:rFonts w:asciiTheme="minorHAnsi" w:hAnsiTheme="minorHAnsi" w:cstheme="minorHAnsi"/>
          <w:b w:val="0"/>
          <w:bCs w:val="0"/>
          <w:color w:val="202124"/>
          <w:sz w:val="24"/>
          <w:szCs w:val="24"/>
          <w:lang w:val="en"/>
        </w:rPr>
      </w:pPr>
    </w:p>
    <w:p w14:paraId="2EF74019" w14:textId="77777777" w:rsidR="009F359F" w:rsidRDefault="009F359F" w:rsidP="009F359F">
      <w:pPr>
        <w:spacing w:line="276" w:lineRule="auto"/>
        <w:rPr>
          <w:rFonts w:eastAsia="Times New Roman" w:cstheme="minorHAnsi"/>
          <w:color w:val="202124"/>
          <w:sz w:val="24"/>
          <w:szCs w:val="24"/>
          <w:lang w:val="en"/>
        </w:rPr>
      </w:pPr>
    </w:p>
    <w:p w14:paraId="21153A94" w14:textId="77777777" w:rsidR="009F359F" w:rsidRDefault="009F359F" w:rsidP="009F359F">
      <w:pPr>
        <w:spacing w:line="276" w:lineRule="auto"/>
        <w:jc w:val="both"/>
        <w:rPr>
          <w:rFonts w:eastAsia="Times New Roman" w:cstheme="minorHAnsi"/>
          <w:color w:val="202124"/>
          <w:sz w:val="24"/>
          <w:szCs w:val="24"/>
          <w:lang w:val="en"/>
        </w:rPr>
      </w:pPr>
    </w:p>
    <w:p w14:paraId="541E9F39" w14:textId="77777777" w:rsidR="000A5950" w:rsidRPr="00394439" w:rsidRDefault="000A5950" w:rsidP="007A04BF">
      <w:pPr>
        <w:jc w:val="both"/>
        <w:rPr>
          <w:rFonts w:eastAsia="Times New Roman" w:cstheme="minorHAnsi"/>
          <w:color w:val="202124"/>
          <w:sz w:val="24"/>
          <w:szCs w:val="24"/>
          <w:lang w:val="en"/>
        </w:rPr>
      </w:pPr>
    </w:p>
    <w:p w14:paraId="35CF22C0" w14:textId="77777777" w:rsidR="000A5950" w:rsidRPr="00394439" w:rsidRDefault="000A5950" w:rsidP="001F37DF">
      <w:pPr>
        <w:rPr>
          <w:rFonts w:eastAsia="Times New Roman"/>
          <w:lang w:val="en"/>
        </w:rPr>
      </w:pPr>
    </w:p>
    <w:p w14:paraId="6674FFCE" w14:textId="77777777" w:rsidR="000A5950" w:rsidRPr="00394439" w:rsidRDefault="000A5950" w:rsidP="007A04BF">
      <w:pPr>
        <w:jc w:val="both"/>
        <w:rPr>
          <w:rFonts w:eastAsia="Times New Roman" w:cstheme="minorHAnsi"/>
          <w:color w:val="202124"/>
          <w:sz w:val="24"/>
          <w:szCs w:val="24"/>
          <w:lang w:val="en"/>
        </w:rPr>
      </w:pPr>
    </w:p>
    <w:p w14:paraId="31867CCB" w14:textId="77777777" w:rsidR="000A5950" w:rsidRPr="00394439" w:rsidRDefault="000A5950" w:rsidP="007A04BF">
      <w:pPr>
        <w:jc w:val="both"/>
        <w:rPr>
          <w:rFonts w:eastAsia="Times New Roman" w:cstheme="minorHAnsi"/>
          <w:color w:val="202124"/>
          <w:sz w:val="24"/>
          <w:szCs w:val="24"/>
          <w:lang w:val="en"/>
        </w:rPr>
      </w:pPr>
    </w:p>
    <w:p w14:paraId="0F6E545C" w14:textId="77777777" w:rsidR="000A5950" w:rsidRPr="00394439" w:rsidRDefault="000A5950" w:rsidP="007A04BF">
      <w:pPr>
        <w:jc w:val="both"/>
        <w:rPr>
          <w:rFonts w:eastAsia="Times New Roman" w:cstheme="minorHAnsi"/>
          <w:color w:val="202124"/>
          <w:sz w:val="24"/>
          <w:szCs w:val="24"/>
          <w:lang w:val="en"/>
        </w:rPr>
      </w:pPr>
    </w:p>
    <w:p w14:paraId="16A71462" w14:textId="77777777" w:rsidR="000A5950" w:rsidRPr="00394439" w:rsidRDefault="000A5950" w:rsidP="007A04BF">
      <w:pPr>
        <w:jc w:val="both"/>
        <w:rPr>
          <w:rFonts w:eastAsia="Times New Roman" w:cstheme="minorHAnsi"/>
          <w:color w:val="202124"/>
          <w:sz w:val="24"/>
          <w:szCs w:val="24"/>
          <w:lang w:val="en"/>
        </w:rPr>
      </w:pPr>
    </w:p>
    <w:p w14:paraId="22C5A79B" w14:textId="77777777" w:rsidR="000A5950" w:rsidRPr="00394439" w:rsidRDefault="000A5950" w:rsidP="007A04BF">
      <w:pPr>
        <w:jc w:val="both"/>
        <w:rPr>
          <w:rFonts w:eastAsia="Times New Roman" w:cstheme="minorHAnsi"/>
          <w:color w:val="202124"/>
          <w:sz w:val="24"/>
          <w:szCs w:val="24"/>
          <w:lang w:val="en"/>
        </w:rPr>
      </w:pPr>
    </w:p>
    <w:p w14:paraId="13BB9B09" w14:textId="77777777" w:rsidR="000A5950" w:rsidRPr="00394439" w:rsidRDefault="000A5950" w:rsidP="007A04BF">
      <w:pPr>
        <w:jc w:val="both"/>
        <w:rPr>
          <w:rFonts w:eastAsia="Times New Roman" w:cstheme="minorHAnsi"/>
          <w:color w:val="202124"/>
          <w:sz w:val="24"/>
          <w:szCs w:val="24"/>
          <w:lang w:val="en"/>
        </w:rPr>
      </w:pPr>
    </w:p>
    <w:p w14:paraId="1F3764D0" w14:textId="77777777" w:rsidR="000A5950" w:rsidRPr="00394439" w:rsidRDefault="000A5950" w:rsidP="007A04BF">
      <w:pPr>
        <w:jc w:val="both"/>
        <w:rPr>
          <w:rFonts w:eastAsia="Times New Roman" w:cstheme="minorHAnsi"/>
          <w:color w:val="202124"/>
          <w:sz w:val="24"/>
          <w:szCs w:val="24"/>
          <w:lang w:val="en"/>
        </w:rPr>
      </w:pPr>
    </w:p>
    <w:p w14:paraId="2B235069" w14:textId="77777777" w:rsidR="000A5950" w:rsidRPr="00394439" w:rsidRDefault="000A5950" w:rsidP="007A04BF">
      <w:pPr>
        <w:jc w:val="both"/>
        <w:rPr>
          <w:rFonts w:eastAsia="Times New Roman" w:cstheme="minorHAnsi"/>
          <w:color w:val="202124"/>
          <w:sz w:val="24"/>
          <w:szCs w:val="24"/>
          <w:lang w:val="en"/>
        </w:rPr>
      </w:pPr>
    </w:p>
    <w:p w14:paraId="04D0A59D" w14:textId="77777777" w:rsidR="000A5950" w:rsidRPr="00394439" w:rsidRDefault="000A5950" w:rsidP="007A04BF">
      <w:pPr>
        <w:jc w:val="both"/>
        <w:rPr>
          <w:rFonts w:eastAsia="Times New Roman" w:cstheme="minorHAnsi"/>
          <w:color w:val="202124"/>
          <w:sz w:val="24"/>
          <w:szCs w:val="24"/>
          <w:lang w:val="en"/>
        </w:rPr>
      </w:pPr>
    </w:p>
    <w:p w14:paraId="536E26DD" w14:textId="77777777" w:rsidR="000A5950" w:rsidRPr="00394439" w:rsidRDefault="000A5950" w:rsidP="007A04BF">
      <w:pPr>
        <w:jc w:val="both"/>
        <w:rPr>
          <w:rFonts w:eastAsia="Times New Roman" w:cstheme="minorHAnsi"/>
          <w:color w:val="202124"/>
          <w:sz w:val="24"/>
          <w:szCs w:val="24"/>
          <w:lang w:val="en"/>
        </w:rPr>
      </w:pPr>
    </w:p>
    <w:p w14:paraId="43D5DA48" w14:textId="77777777" w:rsidR="000A5950" w:rsidRPr="00394439" w:rsidRDefault="000A5950" w:rsidP="007A04BF">
      <w:pPr>
        <w:jc w:val="both"/>
        <w:rPr>
          <w:rFonts w:eastAsia="Times New Roman" w:cstheme="minorHAnsi"/>
          <w:color w:val="202124"/>
          <w:sz w:val="24"/>
          <w:szCs w:val="24"/>
          <w:lang w:val="en"/>
        </w:rPr>
      </w:pPr>
    </w:p>
    <w:p w14:paraId="7E23C881" w14:textId="77777777" w:rsidR="000A5950" w:rsidRPr="00394439" w:rsidRDefault="000A5950">
      <w:pPr>
        <w:jc w:val="both"/>
        <w:rPr>
          <w:rFonts w:eastAsia="Times New Roman" w:cstheme="minorHAnsi"/>
          <w:color w:val="202124"/>
          <w:sz w:val="24"/>
          <w:szCs w:val="24"/>
          <w:lang w:val="en"/>
        </w:rPr>
      </w:pPr>
    </w:p>
    <w:p w14:paraId="3DD00096" w14:textId="77777777" w:rsidR="000A5950" w:rsidRPr="00394439" w:rsidRDefault="000A5950">
      <w:pPr>
        <w:jc w:val="both"/>
        <w:rPr>
          <w:rFonts w:eastAsia="Times New Roman" w:cstheme="minorHAnsi"/>
          <w:color w:val="202124"/>
          <w:sz w:val="24"/>
          <w:szCs w:val="24"/>
          <w:lang w:val="en"/>
        </w:rPr>
      </w:pPr>
    </w:p>
    <w:sectPr w:rsidR="000A5950" w:rsidRPr="00394439" w:rsidSect="0039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348F1"/>
    <w:multiLevelType w:val="multilevel"/>
    <w:tmpl w:val="063A1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50"/>
    <w:rsid w:val="0007283A"/>
    <w:rsid w:val="000A5950"/>
    <w:rsid w:val="00140881"/>
    <w:rsid w:val="001F37DF"/>
    <w:rsid w:val="002806A2"/>
    <w:rsid w:val="002A19DB"/>
    <w:rsid w:val="002A66D1"/>
    <w:rsid w:val="00394439"/>
    <w:rsid w:val="0042011E"/>
    <w:rsid w:val="00464A95"/>
    <w:rsid w:val="005F4401"/>
    <w:rsid w:val="00602028"/>
    <w:rsid w:val="00675663"/>
    <w:rsid w:val="007273CE"/>
    <w:rsid w:val="007A04BF"/>
    <w:rsid w:val="00827A05"/>
    <w:rsid w:val="00883ABB"/>
    <w:rsid w:val="00951C44"/>
    <w:rsid w:val="009F359F"/>
    <w:rsid w:val="00A20B37"/>
    <w:rsid w:val="00AE2C33"/>
    <w:rsid w:val="00BE5CBD"/>
    <w:rsid w:val="00CA1E41"/>
    <w:rsid w:val="00DC241D"/>
    <w:rsid w:val="00EF0E06"/>
    <w:rsid w:val="00F737CE"/>
    <w:rsid w:val="00FA7C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FCD3"/>
  <w15:docId w15:val="{EBB1CF46-FB8D-4190-9472-C783C7E6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1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19D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BE5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CBD"/>
    <w:rPr>
      <w:rFonts w:ascii="Courier New" w:eastAsia="Times New Roman" w:hAnsi="Courier New" w:cs="Courier New"/>
      <w:sz w:val="20"/>
      <w:szCs w:val="20"/>
    </w:rPr>
  </w:style>
  <w:style w:type="character" w:customStyle="1" w:styleId="y2iqfc">
    <w:name w:val="y2iqfc"/>
    <w:basedOn w:val="DefaultParagraphFont"/>
    <w:rsid w:val="00BE5CBD"/>
  </w:style>
  <w:style w:type="character" w:styleId="Hyperlink">
    <w:name w:val="Hyperlink"/>
    <w:basedOn w:val="DefaultParagraphFont"/>
    <w:uiPriority w:val="99"/>
    <w:unhideWhenUsed/>
    <w:rsid w:val="00602028"/>
    <w:rPr>
      <w:color w:val="0563C1" w:themeColor="hyperlink"/>
      <w:u w:val="single"/>
    </w:rPr>
  </w:style>
  <w:style w:type="character" w:styleId="UnresolvedMention">
    <w:name w:val="Unresolved Mention"/>
    <w:basedOn w:val="DefaultParagraphFont"/>
    <w:uiPriority w:val="99"/>
    <w:semiHidden/>
    <w:unhideWhenUsed/>
    <w:rsid w:val="00602028"/>
    <w:rPr>
      <w:color w:val="605E5C"/>
      <w:shd w:val="clear" w:color="auto" w:fill="E1DFDD"/>
    </w:rPr>
  </w:style>
  <w:style w:type="paragraph" w:styleId="NoSpacing">
    <w:name w:val="No Spacing"/>
    <w:uiPriority w:val="1"/>
    <w:qFormat/>
    <w:rsid w:val="001F37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5193">
      <w:bodyDiv w:val="1"/>
      <w:marLeft w:val="0"/>
      <w:marRight w:val="0"/>
      <w:marTop w:val="0"/>
      <w:marBottom w:val="0"/>
      <w:divBdr>
        <w:top w:val="none" w:sz="0" w:space="0" w:color="auto"/>
        <w:left w:val="none" w:sz="0" w:space="0" w:color="auto"/>
        <w:bottom w:val="none" w:sz="0" w:space="0" w:color="auto"/>
        <w:right w:val="none" w:sz="0" w:space="0" w:color="auto"/>
      </w:divBdr>
    </w:div>
    <w:div w:id="30425347">
      <w:bodyDiv w:val="1"/>
      <w:marLeft w:val="0"/>
      <w:marRight w:val="0"/>
      <w:marTop w:val="0"/>
      <w:marBottom w:val="0"/>
      <w:divBdr>
        <w:top w:val="none" w:sz="0" w:space="0" w:color="auto"/>
        <w:left w:val="none" w:sz="0" w:space="0" w:color="auto"/>
        <w:bottom w:val="none" w:sz="0" w:space="0" w:color="auto"/>
        <w:right w:val="none" w:sz="0" w:space="0" w:color="auto"/>
      </w:divBdr>
    </w:div>
    <w:div w:id="98642255">
      <w:bodyDiv w:val="1"/>
      <w:marLeft w:val="0"/>
      <w:marRight w:val="0"/>
      <w:marTop w:val="0"/>
      <w:marBottom w:val="0"/>
      <w:divBdr>
        <w:top w:val="none" w:sz="0" w:space="0" w:color="auto"/>
        <w:left w:val="none" w:sz="0" w:space="0" w:color="auto"/>
        <w:bottom w:val="none" w:sz="0" w:space="0" w:color="auto"/>
        <w:right w:val="none" w:sz="0" w:space="0" w:color="auto"/>
      </w:divBdr>
    </w:div>
    <w:div w:id="561453296">
      <w:bodyDiv w:val="1"/>
      <w:marLeft w:val="0"/>
      <w:marRight w:val="0"/>
      <w:marTop w:val="0"/>
      <w:marBottom w:val="0"/>
      <w:divBdr>
        <w:top w:val="none" w:sz="0" w:space="0" w:color="auto"/>
        <w:left w:val="none" w:sz="0" w:space="0" w:color="auto"/>
        <w:bottom w:val="none" w:sz="0" w:space="0" w:color="auto"/>
        <w:right w:val="none" w:sz="0" w:space="0" w:color="auto"/>
      </w:divBdr>
      <w:divsChild>
        <w:div w:id="1539929811">
          <w:marLeft w:val="0"/>
          <w:marRight w:val="0"/>
          <w:marTop w:val="0"/>
          <w:marBottom w:val="0"/>
          <w:divBdr>
            <w:top w:val="none" w:sz="0" w:space="0" w:color="auto"/>
            <w:left w:val="none" w:sz="0" w:space="0" w:color="auto"/>
            <w:bottom w:val="none" w:sz="0" w:space="0" w:color="auto"/>
            <w:right w:val="none" w:sz="0" w:space="0" w:color="auto"/>
          </w:divBdr>
          <w:divsChild>
            <w:div w:id="1118448345">
              <w:marLeft w:val="0"/>
              <w:marRight w:val="0"/>
              <w:marTop w:val="0"/>
              <w:marBottom w:val="0"/>
              <w:divBdr>
                <w:top w:val="none" w:sz="0" w:space="0" w:color="auto"/>
                <w:left w:val="none" w:sz="0" w:space="0" w:color="auto"/>
                <w:bottom w:val="none" w:sz="0" w:space="0" w:color="auto"/>
                <w:right w:val="none" w:sz="0" w:space="0" w:color="auto"/>
              </w:divBdr>
              <w:divsChild>
                <w:div w:id="622733590">
                  <w:marLeft w:val="0"/>
                  <w:marRight w:val="0"/>
                  <w:marTop w:val="0"/>
                  <w:marBottom w:val="0"/>
                  <w:divBdr>
                    <w:top w:val="none" w:sz="0" w:space="0" w:color="auto"/>
                    <w:left w:val="none" w:sz="0" w:space="0" w:color="auto"/>
                    <w:bottom w:val="none" w:sz="0" w:space="0" w:color="auto"/>
                    <w:right w:val="none" w:sz="0" w:space="0" w:color="auto"/>
                  </w:divBdr>
                  <w:divsChild>
                    <w:div w:id="1124033083">
                      <w:marLeft w:val="0"/>
                      <w:marRight w:val="0"/>
                      <w:marTop w:val="0"/>
                      <w:marBottom w:val="0"/>
                      <w:divBdr>
                        <w:top w:val="none" w:sz="0" w:space="0" w:color="auto"/>
                        <w:left w:val="none" w:sz="0" w:space="0" w:color="auto"/>
                        <w:bottom w:val="none" w:sz="0" w:space="0" w:color="auto"/>
                        <w:right w:val="none" w:sz="0" w:space="0" w:color="auto"/>
                      </w:divBdr>
                      <w:divsChild>
                        <w:div w:id="528178891">
                          <w:marLeft w:val="0"/>
                          <w:marRight w:val="0"/>
                          <w:marTop w:val="0"/>
                          <w:marBottom w:val="0"/>
                          <w:divBdr>
                            <w:top w:val="none" w:sz="0" w:space="0" w:color="auto"/>
                            <w:left w:val="none" w:sz="0" w:space="0" w:color="auto"/>
                            <w:bottom w:val="none" w:sz="0" w:space="0" w:color="auto"/>
                            <w:right w:val="none" w:sz="0" w:space="0" w:color="auto"/>
                          </w:divBdr>
                          <w:divsChild>
                            <w:div w:id="1158376022">
                              <w:marLeft w:val="0"/>
                              <w:marRight w:val="0"/>
                              <w:marTop w:val="0"/>
                              <w:marBottom w:val="0"/>
                              <w:divBdr>
                                <w:top w:val="none" w:sz="0" w:space="0" w:color="auto"/>
                                <w:left w:val="none" w:sz="0" w:space="0" w:color="auto"/>
                                <w:bottom w:val="none" w:sz="0" w:space="0" w:color="auto"/>
                                <w:right w:val="none" w:sz="0" w:space="0" w:color="auto"/>
                              </w:divBdr>
                              <w:divsChild>
                                <w:div w:id="393045091">
                                  <w:marLeft w:val="0"/>
                                  <w:marRight w:val="0"/>
                                  <w:marTop w:val="0"/>
                                  <w:marBottom w:val="0"/>
                                  <w:divBdr>
                                    <w:top w:val="none" w:sz="0" w:space="0" w:color="auto"/>
                                    <w:left w:val="none" w:sz="0" w:space="0" w:color="auto"/>
                                    <w:bottom w:val="none" w:sz="0" w:space="0" w:color="auto"/>
                                    <w:right w:val="none" w:sz="0" w:space="0" w:color="auto"/>
                                  </w:divBdr>
                                  <w:divsChild>
                                    <w:div w:id="198327217">
                                      <w:marLeft w:val="0"/>
                                      <w:marRight w:val="0"/>
                                      <w:marTop w:val="0"/>
                                      <w:marBottom w:val="0"/>
                                      <w:divBdr>
                                        <w:top w:val="none" w:sz="0" w:space="0" w:color="auto"/>
                                        <w:left w:val="none" w:sz="0" w:space="0" w:color="auto"/>
                                        <w:bottom w:val="none" w:sz="0" w:space="0" w:color="auto"/>
                                        <w:right w:val="none" w:sz="0" w:space="0" w:color="auto"/>
                                      </w:divBdr>
                                    </w:div>
                                    <w:div w:id="301933784">
                                      <w:marLeft w:val="0"/>
                                      <w:marRight w:val="0"/>
                                      <w:marTop w:val="0"/>
                                      <w:marBottom w:val="0"/>
                                      <w:divBdr>
                                        <w:top w:val="none" w:sz="0" w:space="0" w:color="auto"/>
                                        <w:left w:val="none" w:sz="0" w:space="0" w:color="auto"/>
                                        <w:bottom w:val="none" w:sz="0" w:space="0" w:color="auto"/>
                                        <w:right w:val="none" w:sz="0" w:space="0" w:color="auto"/>
                                      </w:divBdr>
                                      <w:divsChild>
                                        <w:div w:id="530339273">
                                          <w:marLeft w:val="165"/>
                                          <w:marRight w:val="0"/>
                                          <w:marTop w:val="150"/>
                                          <w:marBottom w:val="0"/>
                                          <w:divBdr>
                                            <w:top w:val="none" w:sz="0" w:space="0" w:color="auto"/>
                                            <w:left w:val="none" w:sz="0" w:space="0" w:color="auto"/>
                                            <w:bottom w:val="none" w:sz="0" w:space="0" w:color="auto"/>
                                            <w:right w:val="none" w:sz="0" w:space="0" w:color="auto"/>
                                          </w:divBdr>
                                          <w:divsChild>
                                            <w:div w:id="658118418">
                                              <w:marLeft w:val="0"/>
                                              <w:marRight w:val="0"/>
                                              <w:marTop w:val="0"/>
                                              <w:marBottom w:val="0"/>
                                              <w:divBdr>
                                                <w:top w:val="none" w:sz="0" w:space="0" w:color="auto"/>
                                                <w:left w:val="none" w:sz="0" w:space="0" w:color="auto"/>
                                                <w:bottom w:val="none" w:sz="0" w:space="0" w:color="auto"/>
                                                <w:right w:val="none" w:sz="0" w:space="0" w:color="auto"/>
                                              </w:divBdr>
                                              <w:divsChild>
                                                <w:div w:id="5332295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5557867">
      <w:bodyDiv w:val="1"/>
      <w:marLeft w:val="0"/>
      <w:marRight w:val="0"/>
      <w:marTop w:val="0"/>
      <w:marBottom w:val="0"/>
      <w:divBdr>
        <w:top w:val="none" w:sz="0" w:space="0" w:color="auto"/>
        <w:left w:val="none" w:sz="0" w:space="0" w:color="auto"/>
        <w:bottom w:val="none" w:sz="0" w:space="0" w:color="auto"/>
        <w:right w:val="none" w:sz="0" w:space="0" w:color="auto"/>
      </w:divBdr>
    </w:div>
    <w:div w:id="1086924134">
      <w:bodyDiv w:val="1"/>
      <w:marLeft w:val="0"/>
      <w:marRight w:val="0"/>
      <w:marTop w:val="0"/>
      <w:marBottom w:val="0"/>
      <w:divBdr>
        <w:top w:val="none" w:sz="0" w:space="0" w:color="auto"/>
        <w:left w:val="none" w:sz="0" w:space="0" w:color="auto"/>
        <w:bottom w:val="none" w:sz="0" w:space="0" w:color="auto"/>
        <w:right w:val="none" w:sz="0" w:space="0" w:color="auto"/>
      </w:divBdr>
    </w:div>
    <w:div w:id="1271862538">
      <w:bodyDiv w:val="1"/>
      <w:marLeft w:val="0"/>
      <w:marRight w:val="0"/>
      <w:marTop w:val="0"/>
      <w:marBottom w:val="0"/>
      <w:divBdr>
        <w:top w:val="none" w:sz="0" w:space="0" w:color="auto"/>
        <w:left w:val="none" w:sz="0" w:space="0" w:color="auto"/>
        <w:bottom w:val="none" w:sz="0" w:space="0" w:color="auto"/>
        <w:right w:val="none" w:sz="0" w:space="0" w:color="auto"/>
      </w:divBdr>
    </w:div>
    <w:div w:id="1727217337">
      <w:bodyDiv w:val="1"/>
      <w:marLeft w:val="0"/>
      <w:marRight w:val="0"/>
      <w:marTop w:val="0"/>
      <w:marBottom w:val="0"/>
      <w:divBdr>
        <w:top w:val="none" w:sz="0" w:space="0" w:color="auto"/>
        <w:left w:val="none" w:sz="0" w:space="0" w:color="auto"/>
        <w:bottom w:val="none" w:sz="0" w:space="0" w:color="auto"/>
        <w:right w:val="none" w:sz="0" w:space="0" w:color="auto"/>
      </w:divBdr>
    </w:div>
    <w:div w:id="1811165708">
      <w:bodyDiv w:val="1"/>
      <w:marLeft w:val="0"/>
      <w:marRight w:val="0"/>
      <w:marTop w:val="0"/>
      <w:marBottom w:val="0"/>
      <w:divBdr>
        <w:top w:val="none" w:sz="0" w:space="0" w:color="auto"/>
        <w:left w:val="none" w:sz="0" w:space="0" w:color="auto"/>
        <w:bottom w:val="none" w:sz="0" w:space="0" w:color="auto"/>
        <w:right w:val="none" w:sz="0" w:space="0" w:color="auto"/>
      </w:divBdr>
    </w:div>
    <w:div w:id="1830518434">
      <w:bodyDiv w:val="1"/>
      <w:marLeft w:val="0"/>
      <w:marRight w:val="0"/>
      <w:marTop w:val="0"/>
      <w:marBottom w:val="0"/>
      <w:divBdr>
        <w:top w:val="none" w:sz="0" w:space="0" w:color="auto"/>
        <w:left w:val="none" w:sz="0" w:space="0" w:color="auto"/>
        <w:bottom w:val="none" w:sz="0" w:space="0" w:color="auto"/>
        <w:right w:val="none" w:sz="0" w:space="0" w:color="auto"/>
      </w:divBdr>
    </w:div>
    <w:div w:id="2004620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iri-cookbook.readthedocs.io/en/latest/CIRI-long_sequencing.html" TargetMode="External"/><Relationship Id="rId3" Type="http://schemas.openxmlformats.org/officeDocument/2006/relationships/styles" Target="styles.xml"/><Relationship Id="rId7" Type="http://schemas.openxmlformats.org/officeDocument/2006/relationships/hyperlink" Target="https://www.nature.com/articles/s41587-021-00842-6/figures/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87-021-00842-6/figures/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rwick/MinION-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B3E32-5EE7-470D-A14B-B5CADCD4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Manar</dc:creator>
  <cp:lastModifiedBy>manarsayed2070@gmail.com</cp:lastModifiedBy>
  <cp:revision>2</cp:revision>
  <dcterms:created xsi:type="dcterms:W3CDTF">2021-05-22T18:06:00Z</dcterms:created>
  <dcterms:modified xsi:type="dcterms:W3CDTF">2021-05-22T18:06:00Z</dcterms:modified>
</cp:coreProperties>
</file>