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b/>
          <w:bCs/>
          <w:color w:val="2E2E2E"/>
          <w:sz w:val="32"/>
          <w:szCs w:val="32"/>
        </w:rPr>
        <w:t xml:space="preserve">VortexDeep</w:t>
      </w:r>
    </w:p>
    <w:p>
      <w:pPr>
        <w:spacing w:after="180"/>
      </w:pPr>
      <w:r>
        <w:rPr>
          <w:color w:val="6B6B6B"/>
          <w:sz w:val="16"/>
          <w:szCs w:val="16"/>
        </w:rPr>
        <w:t xml:space="preserve">SLIDE TIGHTENING SPEC  ·  v02 → v03  ·  remove Slide 4, split problem/solution into two process diagrams</w:t>
      </w:r>
    </w:p>
    <w:p>
      <w:pPr>
        <w:pBdr>
          <w:left w:val="single" w:color="B0143C" w:sz="18" w:space="8"/>
        </w:pBdr>
        <w:shd w:fill="F2F2F2" w:val="clear"/>
        <w:spacing w:after="120" w:before="120"/>
      </w:pPr>
      <w:r>
        <w:rPr>
          <w:b/>
          <w:bCs/>
          <w:color w:val="B0143C"/>
          <w:sz w:val="19"/>
          <w:szCs w:val="19"/>
        </w:rPr>
        <w:t xml:space="preserve">Decision: </w:t>
      </w:r>
      <w:r>
        <w:rPr>
          <w:color w:val="2E2E2E"/>
          <w:sz w:val="19"/>
          <w:szCs w:val="19"/>
        </w:rPr>
        <w:t xml:space="preserve">delete Slide 4 (the “how it works” repeat). Its point — many tasks in, all handled, you decide each — is carried by a small process (P&amp;ID-style) diagram added to Slide 2 (Problem) and Slide 3 (Solution). Deck goes from 10 to 9 slides. Same Venturelab structure; apply by hand.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Renumbering (10 → 9 slides)</w:t>
      </w:r>
    </w:p>
    <w:p>
      <w:pPr>
        <w:spacing w:after="80"/>
      </w:pPr>
      <w:r>
        <w:rPr>
          <w:color w:val="2E2E2E"/>
          <w:sz w:val="19"/>
          <w:szCs w:val="19"/>
        </w:rPr>
        <w:t xml:space="preserve">1 Intro · 2 Problem · 3 Solution · </w:t>
      </w:r>
      <w:r>
        <w:rPr>
          <w:b/>
          <w:bCs/>
          <w:color w:val="A32D2D"/>
          <w:sz w:val="19"/>
          <w:szCs w:val="19"/>
        </w:rPr>
        <w:t xml:space="preserve">[4 removed]</w:t>
      </w:r>
      <w:r>
        <w:rPr>
          <w:color w:val="2E2E2E"/>
          <w:sz w:val="19"/>
          <w:szCs w:val="19"/>
        </w:rPr>
        <w:t xml:space="preserve"> · 4 Market · 5 Competition &amp; Advantage · 6 Roadmap · 7 Financial Plan · 8 Team · 9 Board &amp; Advisors. The Day 5 talking-points script (v11) is already renumbered to match.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A.  Add to Slide 2 (Problem) — the bottleneck</w:t>
      </w:r>
    </w:p>
    <w:p>
      <w:pPr>
        <w:spacing w:after="80"/>
      </w:pPr>
      <w:r>
        <w:rPr>
          <w:color w:val="2E2E2E"/>
          <w:sz w:val="19"/>
          <w:szCs w:val="19"/>
        </w:rPr>
        <w:t xml:space="preserve">A simple process diagram: the four task types arrive, but one resource (“You”) can only take </w:t>
      </w:r>
      <w:r>
        <w:rPr>
          <w:b/>
          <w:bCs/>
          <w:color w:val="2E2E2E"/>
          <w:sz w:val="19"/>
          <w:szCs w:val="19"/>
        </w:rPr>
        <w:t xml:space="preserve">one at a time</w:t>
      </w:r>
      <w:r>
        <w:rPr>
          <w:color w:val="2E2E2E"/>
          <w:sz w:val="19"/>
          <w:szCs w:val="19"/>
        </w:rPr>
        <w:t xml:space="preserve"> — task 1 is resolved, tasks 2…N wait. This is the capacity problem, not just “it repeats.”</w:t>
      </w:r>
    </w:p>
    <w:p>
      <w:pPr>
        <w:spacing w:after="80" w:before="80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B6B6B"/>
          <w:sz w:val="17"/>
          <w:szCs w:val="17"/>
        </w:rPr>
        <w:t xml:space="preserve">Build: 4 task chips → a circle labelled “You / one at a time” → one green “resolved” box + one dashed “waiting” box. Circle = the human as the single resource.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B.  Add to Slide 3 (Solution) — the controlled line</w:t>
      </w:r>
    </w:p>
    <w:p>
      <w:pPr>
        <w:spacing w:after="80"/>
      </w:pPr>
      <w:r>
        <w:rPr>
          <w:color w:val="2E2E2E"/>
          <w:sz w:val="19"/>
          <w:szCs w:val="19"/>
        </w:rPr>
        <w:t xml:space="preserve">The parallel diagram: the same inflow, but the </w:t>
      </w:r>
      <w:r>
        <w:rPr>
          <w:b/>
          <w:bCs/>
          <w:color w:val="2E2E2E"/>
          <w:sz w:val="19"/>
          <w:szCs w:val="19"/>
        </w:rPr>
        <w:t xml:space="preserve">AI workflow does the work</w:t>
      </w:r>
      <w:r>
        <w:rPr>
          <w:color w:val="2E2E2E"/>
          <w:sz w:val="19"/>
          <w:szCs w:val="19"/>
        </w:rPr>
        <w:t xml:space="preserve"> on all tasks, and “You” become the </w:t>
      </w:r>
      <w:r>
        <w:rPr>
          <w:b/>
          <w:bCs/>
          <w:color w:val="2E2E2E"/>
          <w:sz w:val="19"/>
          <w:szCs w:val="19"/>
        </w:rPr>
        <w:t xml:space="preserve">control point</w:t>
      </w:r>
      <w:r>
        <w:rPr>
          <w:color w:val="2E2E2E"/>
          <w:sz w:val="19"/>
          <w:szCs w:val="19"/>
        </w:rPr>
        <w:t xml:space="preserve"> on the line — approve each, all 1…N resolved. Same human authority, no bottleneck.</w:t>
      </w:r>
    </w:p>
    <w:p>
      <w:pPr>
        <w:spacing w:after="80" w:before="80"/>
      </w:pPr>
      <w:r>
        <w:drawing>
          <wp:inline distT="0" distB="0" distL="0" distR="0">
            <wp:extent cx="5715000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  <w:color w:val="6B6B6B"/>
          <w:sz w:val="17"/>
          <w:szCs w:val="17"/>
        </w:rPr>
        <w:t xml:space="preserve">Build: 4 task chips → “AI workflow / does the work” unit → a circle “You / approve” (the control instrument) → green “all 1…N resolved”. The circle echoes Slide 2 on purpose — there You are the whole process; here You are just the control point.</w:t>
      </w:r>
    </w:p>
    <w:p>
      <w:pPr>
        <w:pBdr>
          <w:left w:val="single" w:color="B0143C" w:sz="18" w:space="8"/>
        </w:pBdr>
        <w:shd w:fill="F2F2F2" w:val="clear"/>
        <w:spacing w:after="120" w:before="120"/>
      </w:pPr>
      <w:r>
        <w:rPr>
          <w:b/>
          <w:bCs/>
          <w:color w:val="B0143C"/>
          <w:sz w:val="19"/>
          <w:szCs w:val="19"/>
        </w:rPr>
        <w:t xml:space="preserve">Why this works: </w:t>
      </w:r>
      <w:r>
        <w:rPr>
          <w:color w:val="2E2E2E"/>
          <w:sz w:val="19"/>
          <w:szCs w:val="19"/>
        </w:rPr>
        <w:t xml:space="preserve">the two diagrams are a matched pair, so the problem→solution contrast lands across the slides. A process engineer on the jury reads them instantly, and the control-point circle carries the “human keeps control” message visually — no words needed.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C.  Slides 2 vs Market — the four buckets appear twice</w:t>
      </w:r>
    </w:p>
    <w:p>
      <w:pPr>
        <w:spacing w:after="80"/>
      </w:pPr>
      <w:r>
        <w:rPr>
          <w:color w:val="2E2E2E"/>
          <w:sz w:val="19"/>
          <w:szCs w:val="19"/>
        </w:rPr>
        <w:t xml:space="preserve">Slide 2 lists Messages / Documents / Quotes &amp; renewals / Reports as </w:t>
      </w:r>
      <w:r>
        <w:rPr>
          <w:b/>
          <w:bCs/>
          <w:color w:val="2E2E2E"/>
          <w:sz w:val="19"/>
          <w:szCs w:val="19"/>
        </w:rPr>
        <w:t xml:space="preserve">problems</w:t>
      </w:r>
      <w:r>
        <w:rPr>
          <w:color w:val="2E2E2E"/>
          <w:sz w:val="19"/>
          <w:szCs w:val="19"/>
        </w:rPr>
        <w:t xml:space="preserve">; the Market slide (now Slide 4) lists the same four as </w:t>
      </w:r>
      <w:r>
        <w:rPr>
          <w:b/>
          <w:bCs/>
          <w:color w:val="2E2E2E"/>
          <w:sz w:val="19"/>
          <w:szCs w:val="19"/>
        </w:rPr>
        <w:t xml:space="preserve">segments</w:t>
      </w:r>
      <w:r>
        <w:rPr>
          <w:color w:val="2E2E2E"/>
          <w:sz w:val="19"/>
          <w:szCs w:val="19"/>
        </w:rPr>
        <w:t xml:space="preserve">. Both are required — don’t cut; make the repeat a deliberate callback.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Add to the Market slide (takeaway or sub):</w:t>
      </w:r>
      <w:r>
        <w:rPr>
          <w:color w:val="2E2E2E"/>
          <w:sz w:val="19"/>
          <w:szCs w:val="19"/>
        </w:rPr>
        <w:t xml:space="preserve">  “The same four areas that cost you hours on the problem slide are exactly the segments we serve — we sell into the pain we opened with.”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D.  “Human keeps control” — keep the refrain, vary the words</w:t>
      </w:r>
    </w:p>
    <w:p>
      <w:pPr>
        <w:spacing w:after="80"/>
      </w:pPr>
      <w:r>
        <w:rPr>
          <w:color w:val="2E2E2E"/>
          <w:sz w:val="19"/>
          <w:szCs w:val="19"/>
        </w:rPr>
        <w:t xml:space="preserve">With Slide 4 gone, the refrain now lives on Slides 1, 3 and the Competition slide (now Slide 5). Keep it — it’s your differentiator — but say it differently each time: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1:</w:t>
      </w:r>
      <w:r>
        <w:rPr>
          <w:color w:val="2E2E2E"/>
          <w:sz w:val="19"/>
          <w:szCs w:val="19"/>
        </w:rPr>
        <w:t xml:space="preserve">  “You keep the decisions.”  (the promise)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3:</w:t>
      </w:r>
      <w:r>
        <w:rPr>
          <w:color w:val="2E2E2E"/>
          <w:sz w:val="19"/>
          <w:szCs w:val="19"/>
        </w:rPr>
        <w:t xml:space="preserve">  “You still decide every item — the control point on the line.”  (now carried by the diagram)</w:t>
      </w:r>
    </w:p>
    <w:p>
      <w:pPr>
        <w:spacing w:after="80"/>
        <w:ind w:left="120"/>
      </w:pPr>
      <w:r>
        <w:rPr>
          <w:b/>
          <w:bCs/>
          <w:color w:val="B0143C"/>
          <w:sz w:val="19"/>
          <w:szCs w:val="19"/>
        </w:rPr>
        <w:t xml:space="preserve">Slide 5 (Competition):</w:t>
      </w:r>
      <w:r>
        <w:rPr>
          <w:color w:val="2E2E2E"/>
          <w:sz w:val="19"/>
          <w:szCs w:val="19"/>
        </w:rPr>
        <w:t xml:space="preserve">  “A person approves every step.”  (the differentiator vs the four alternatives)</w:t>
      </w:r>
    </w:p>
    <w:p>
      <w:pPr>
        <w:pStyle w:val="Heading1"/>
        <w:spacing w:after="60" w:before="300"/>
      </w:pPr>
      <w:r>
        <w:rPr>
          <w:b/>
          <w:bCs/>
          <w:color w:val="2E2E2E"/>
          <w:sz w:val="26"/>
          <w:szCs w:val="26"/>
        </w:rPr>
        <w:t xml:space="preserve">E.  Pricing on the Financial slide vs the ROI example — no contradiction</w:t>
      </w:r>
    </w:p>
    <w:p>
      <w:pPr>
        <w:spacing w:after="80"/>
      </w:pPr>
      <w:r>
        <w:rPr>
          <w:color w:val="2E2E2E"/>
          <w:sz w:val="19"/>
          <w:szCs w:val="19"/>
        </w:rPr>
        <w:t xml:space="preserve">The Financial slide (now Slide 7) is </w:t>
      </w:r>
      <w:r>
        <w:rPr>
          <w:b/>
          <w:bCs/>
          <w:color w:val="2E2E2E"/>
          <w:sz w:val="19"/>
          <w:szCs w:val="19"/>
        </w:rPr>
        <w:t xml:space="preserve">your</w:t>
      </w:r>
      <w:r>
        <w:rPr>
          <w:color w:val="2E2E2E"/>
          <w:sz w:val="19"/>
          <w:szCs w:val="19"/>
        </w:rPr>
        <w:t xml:space="preserve"> numbers — price ranges, ARR, break-even; keep it. The cost-of-inaction / ROI example is the </w:t>
      </w:r>
      <w:r>
        <w:rPr>
          <w:b/>
          <w:bCs/>
          <w:color w:val="2E2E2E"/>
          <w:sz w:val="19"/>
          <w:szCs w:val="19"/>
        </w:rPr>
        <w:t xml:space="preserve">customer’s</w:t>
      </w:r>
      <w:r>
        <w:rPr>
          <w:color w:val="2E2E2E"/>
          <w:sz w:val="19"/>
          <w:szCs w:val="19"/>
        </w:rPr>
        <w:t xml:space="preserve"> numbers — you </w:t>
      </w:r>
      <w:r>
        <w:rPr>
          <w:b/>
          <w:bCs/>
          <w:color w:val="2E2E2E"/>
          <w:sz w:val="19"/>
          <w:szCs w:val="19"/>
        </w:rPr>
        <w:t xml:space="preserve">say</w:t>
      </w:r>
      <w:r>
        <w:rPr>
          <w:color w:val="2E2E2E"/>
          <w:sz w:val="19"/>
          <w:szCs w:val="19"/>
        </w:rPr>
        <w:t xml:space="preserve"> it aloud there if asked, never a second slide, never the spreadsheet on the projector.</w:t>
      </w:r>
    </w:p>
    <w:p>
      <w:pPr>
        <w:spacing w:before="220"/>
      </w:pPr>
      <w:r>
        <w:rPr>
          <w:i/>
          <w:iCs/>
          <w:color w:val="6B6B6B"/>
          <w:sz w:val="18"/>
          <w:szCs w:val="18"/>
        </w:rPr>
        <w:t xml:space="preserve">Net: 9 slides, no repetition. Slide 4 removed; its point now shown — more accurately — by the two process diagrams on Slides 2 and 3.</w:t>
      </w:r>
    </w:p>
    <w:p>
      <w:pPr>
        <w:spacing w:before="120"/>
      </w:pPr>
      <w:r>
        <w:rPr>
          <w:color w:val="6B6B6B"/>
          <w:sz w:val="18"/>
          <w:szCs w:val="18"/>
        </w:rPr>
        <w:t xml:space="preserve">vortexdeep.ch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ac84428662c41f14bc053622d8805ab8f06f47.undefined"/><Relationship Id="rId8" Type="http://schemas.openxmlformats.org/officeDocument/2006/relationships/image" Target="media/8135eef4aab3be77ea4058f43cb5eb8fed7ad535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2026-08-22T19:04:50.787Z</dcterms:created>
  <dcterms:modified xsi:type="dcterms:W3CDTF">2026-08-22T19:04:50.788Z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